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color w:val="000000"/>
          <w:sz w:val="28"/>
          <w:szCs w:val="36"/>
        </w:rPr>
      </w:pPr>
      <w:r>
        <w:rPr>
          <w:rFonts w:hint="eastAsia"/>
          <w:b/>
          <w:bCs/>
          <w:color w:val="000000"/>
          <w:sz w:val="28"/>
          <w:szCs w:val="36"/>
        </w:rPr>
        <w:t>项目名称：郑州卫生健康职业学院</w:t>
      </w:r>
      <w:r>
        <w:rPr>
          <w:rFonts w:hint="eastAsia" w:ascii="宋体" w:hAnsi="宋体" w:cs="宋体"/>
          <w:b/>
          <w:bCs/>
          <w:sz w:val="28"/>
          <w:szCs w:val="28"/>
          <w:lang w:val="en-US" w:eastAsia="zh-CN"/>
        </w:rPr>
        <w:t>2022年教学能力比赛培训指导及作品拍摄录制项目</w:t>
      </w:r>
    </w:p>
    <w:p>
      <w:pPr>
        <w:pStyle w:val="4"/>
        <w:ind w:left="142" w:leftChars="0" w:hanging="142" w:hangingChars="47"/>
        <w:jc w:val="left"/>
        <w:rPr>
          <w:rFonts w:hint="eastAsia" w:ascii="仿宋" w:hAnsi="仿宋" w:eastAsia="仿宋" w:cs="仿宋"/>
          <w:b/>
          <w:bCs/>
          <w:color w:val="000000"/>
          <w:sz w:val="30"/>
          <w:szCs w:val="30"/>
        </w:rPr>
      </w:pPr>
      <w:bookmarkStart w:id="1" w:name="_GoBack"/>
      <w:r>
        <w:rPr>
          <w:rFonts w:hint="eastAsia" w:ascii="仿宋" w:hAnsi="仿宋" w:eastAsia="仿宋" w:cs="仿宋"/>
          <w:b/>
          <w:bCs/>
          <w:color w:val="000000"/>
          <w:sz w:val="30"/>
          <w:szCs w:val="30"/>
          <w:lang w:val="en-US" w:eastAsia="zh-CN"/>
        </w:rPr>
        <w:t xml:space="preserve">附件2  </w:t>
      </w:r>
      <w:r>
        <w:rPr>
          <w:rFonts w:hint="eastAsia" w:ascii="仿宋" w:hAnsi="仿宋" w:eastAsia="仿宋" w:cs="仿宋"/>
          <w:b/>
          <w:bCs/>
          <w:color w:val="000000"/>
          <w:sz w:val="30"/>
          <w:szCs w:val="30"/>
        </w:rPr>
        <w:t>评分办法</w:t>
      </w:r>
      <w:bookmarkEnd w:id="1"/>
    </w:p>
    <w:tbl>
      <w:tblPr>
        <w:tblStyle w:val="6"/>
        <w:tblW w:w="9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200"/>
        <w:gridCol w:w="731"/>
        <w:gridCol w:w="6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9320" w:type="dxa"/>
            <w:gridSpan w:val="4"/>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评分标准（满分100分）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930" w:type="dxa"/>
            <w:gridSpan w:val="2"/>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评分内容</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分值</w:t>
            </w:r>
          </w:p>
        </w:tc>
        <w:tc>
          <w:tcPr>
            <w:tcW w:w="6659"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930" w:type="dxa"/>
            <w:gridSpan w:val="2"/>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投标报价（20分）</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20分</w:t>
            </w:r>
          </w:p>
        </w:tc>
        <w:tc>
          <w:tcPr>
            <w:tcW w:w="6659" w:type="dxa"/>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价格分统一采用低价优先法计算，即满足招标文件要求且最终评标价格最低的报价为评标基准价，其价格分为满分。</w:t>
            </w:r>
          </w:p>
          <w:p>
            <w:pPr>
              <w:spacing w:line="360" w:lineRule="exact"/>
              <w:rPr>
                <w:rFonts w:hint="eastAsia" w:ascii="仿宋" w:hAnsi="仿宋" w:eastAsia="仿宋" w:cs="仿宋"/>
                <w:sz w:val="28"/>
                <w:szCs w:val="28"/>
              </w:rPr>
            </w:pPr>
            <w:r>
              <w:rPr>
                <w:rFonts w:hint="eastAsia" w:ascii="仿宋" w:hAnsi="仿宋" w:eastAsia="仿宋" w:cs="仿宋"/>
                <w:sz w:val="28"/>
                <w:szCs w:val="28"/>
              </w:rPr>
              <w:t>其他有效供应商的最终评标价格分统一按照下列公式计算：</w:t>
            </w:r>
          </w:p>
          <w:p>
            <w:pPr>
              <w:spacing w:line="360" w:lineRule="exact"/>
              <w:rPr>
                <w:rFonts w:hint="eastAsia" w:ascii="仿宋" w:hAnsi="仿宋" w:eastAsia="仿宋" w:cs="仿宋"/>
                <w:sz w:val="28"/>
                <w:szCs w:val="28"/>
              </w:rPr>
            </w:pPr>
            <w:r>
              <w:rPr>
                <w:rFonts w:hint="eastAsia" w:ascii="仿宋" w:hAnsi="仿宋" w:eastAsia="仿宋" w:cs="仿宋"/>
                <w:sz w:val="28"/>
                <w:szCs w:val="28"/>
              </w:rPr>
              <w:t>投标报价得分=（评标基准价/最终评标价）×20</w:t>
            </w:r>
          </w:p>
          <w:p>
            <w:pPr>
              <w:spacing w:line="360" w:lineRule="exact"/>
              <w:rPr>
                <w:rFonts w:hint="eastAsia" w:ascii="仿宋" w:hAnsi="仿宋" w:eastAsia="仿宋" w:cs="仿宋"/>
                <w:sz w:val="28"/>
                <w:szCs w:val="28"/>
              </w:rPr>
            </w:pPr>
            <w:r>
              <w:rPr>
                <w:rFonts w:hint="eastAsia" w:ascii="仿宋" w:hAnsi="仿宋" w:eastAsia="仿宋" w:cs="仿宋"/>
                <w:sz w:val="28"/>
                <w:szCs w:val="28"/>
              </w:rPr>
              <w:t>有效供应商最终评标价=投标报价×（100%-价格优惠系数。）</w:t>
            </w:r>
          </w:p>
          <w:p>
            <w:pPr>
              <w:spacing w:line="360" w:lineRule="exact"/>
              <w:rPr>
                <w:rFonts w:hint="eastAsia" w:ascii="仿宋" w:hAnsi="仿宋" w:eastAsia="仿宋" w:cs="仿宋"/>
                <w:sz w:val="28"/>
                <w:szCs w:val="28"/>
              </w:rPr>
            </w:pPr>
            <w:r>
              <w:rPr>
                <w:rFonts w:hint="eastAsia" w:ascii="仿宋" w:hAnsi="仿宋" w:eastAsia="仿宋" w:cs="仿宋"/>
                <w:sz w:val="28"/>
                <w:szCs w:val="28"/>
              </w:rPr>
              <w:t>注：</w:t>
            </w:r>
          </w:p>
          <w:p>
            <w:pPr>
              <w:spacing w:line="360" w:lineRule="exact"/>
              <w:rPr>
                <w:rFonts w:hint="eastAsia" w:ascii="仿宋" w:hAnsi="仿宋" w:eastAsia="仿宋" w:cs="仿宋"/>
                <w:sz w:val="28"/>
                <w:szCs w:val="28"/>
              </w:rPr>
            </w:pPr>
            <w:r>
              <w:rPr>
                <w:rFonts w:hint="eastAsia" w:ascii="仿宋" w:hAnsi="仿宋" w:eastAsia="仿宋" w:cs="仿宋"/>
                <w:sz w:val="28"/>
                <w:szCs w:val="28"/>
              </w:rPr>
              <w:t>1.当投标报价明显低于采购预算价，或在评标过程中评标委员会发现投标人的投标报价明显低于其他投标报价，使其投标报价可能低于其个别成本的，评标委员会可对其质询，并要求该投标人做出书面说明和提供相关的证明材料，该投标人不能合理说明或提供证明材料的，评标委员会应按无效投标处理；</w:t>
            </w:r>
          </w:p>
          <w:p>
            <w:pPr>
              <w:spacing w:line="360" w:lineRule="exact"/>
              <w:rPr>
                <w:rFonts w:hint="eastAsia" w:ascii="仿宋" w:hAnsi="仿宋" w:eastAsia="仿宋" w:cs="仿宋"/>
                <w:sz w:val="28"/>
                <w:szCs w:val="28"/>
              </w:rPr>
            </w:pPr>
            <w:r>
              <w:rPr>
                <w:rFonts w:hint="eastAsia" w:ascii="仿宋" w:hAnsi="仿宋" w:eastAsia="仿宋" w:cs="仿宋"/>
                <w:sz w:val="28"/>
                <w:szCs w:val="28"/>
              </w:rPr>
              <w:t xml:space="preserve">2.计算结果按四舍五入法则，保留小数点后两位；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730" w:type="dxa"/>
            <w:vMerge w:val="restart"/>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技术部分</w:t>
            </w:r>
          </w:p>
          <w:p>
            <w:pPr>
              <w:pStyle w:val="2"/>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（50分）</w:t>
            </w:r>
          </w:p>
        </w:tc>
        <w:tc>
          <w:tcPr>
            <w:tcW w:w="1200"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技术规格</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22分</w:t>
            </w:r>
          </w:p>
        </w:tc>
        <w:tc>
          <w:tcPr>
            <w:tcW w:w="6659" w:type="dxa"/>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投标产品技术规格符合招标文件要求：完全满足招标文件得22分，每一项不满足扣0.1分，加★一项不满足扣2分，扣完为止。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作品演示</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10分</w:t>
            </w:r>
          </w:p>
        </w:tc>
        <w:tc>
          <w:tcPr>
            <w:tcW w:w="6659" w:type="dxa"/>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投标人演示本公司已完成往届的省内参赛样片，演示样片必须是已提供的本企业业绩合同中的课程，且必须是投标人拟为本项目提供服务的团队建设的参赛课程（评标时出具课程服务团队承诺函，承诺样片课程服务团队与拟为本项目配备的课程服务团队主要成员一致）。</w:t>
            </w:r>
          </w:p>
          <w:p>
            <w:pPr>
              <w:spacing w:line="360" w:lineRule="exact"/>
              <w:rPr>
                <w:rFonts w:hint="eastAsia" w:ascii="仿宋" w:hAnsi="仿宋" w:eastAsia="仿宋" w:cs="仿宋"/>
                <w:sz w:val="28"/>
                <w:szCs w:val="28"/>
              </w:rPr>
            </w:pPr>
            <w:r>
              <w:rPr>
                <w:rFonts w:hint="eastAsia" w:ascii="仿宋" w:hAnsi="仿宋" w:eastAsia="仿宋" w:cs="仿宋"/>
                <w:sz w:val="28"/>
                <w:szCs w:val="28"/>
              </w:rPr>
              <w:t>评分依据：</w:t>
            </w:r>
          </w:p>
          <w:p>
            <w:pPr>
              <w:spacing w:line="360" w:lineRule="exact"/>
              <w:rPr>
                <w:rFonts w:hint="eastAsia" w:ascii="仿宋" w:hAnsi="仿宋" w:eastAsia="仿宋" w:cs="仿宋"/>
                <w:sz w:val="28"/>
                <w:szCs w:val="28"/>
              </w:rPr>
            </w:pPr>
            <w:r>
              <w:rPr>
                <w:rFonts w:hint="eastAsia" w:ascii="仿宋" w:hAnsi="仿宋" w:eastAsia="仿宋" w:cs="仿宋"/>
                <w:sz w:val="28"/>
                <w:szCs w:val="28"/>
              </w:rPr>
              <w:t>演示项目内容效果好，得10分。</w:t>
            </w:r>
          </w:p>
          <w:p>
            <w:pPr>
              <w:spacing w:line="360" w:lineRule="exact"/>
              <w:rPr>
                <w:rFonts w:hint="eastAsia" w:ascii="仿宋" w:hAnsi="仿宋" w:eastAsia="仿宋" w:cs="仿宋"/>
                <w:sz w:val="28"/>
                <w:szCs w:val="28"/>
              </w:rPr>
            </w:pPr>
            <w:r>
              <w:rPr>
                <w:rFonts w:hint="eastAsia" w:ascii="仿宋" w:hAnsi="仿宋" w:eastAsia="仿宋" w:cs="仿宋"/>
                <w:sz w:val="28"/>
                <w:szCs w:val="28"/>
              </w:rPr>
              <w:t>演示项目内容较好，得7分。</w:t>
            </w:r>
          </w:p>
          <w:p>
            <w:pPr>
              <w:spacing w:line="360" w:lineRule="exact"/>
              <w:rPr>
                <w:rFonts w:hint="eastAsia" w:ascii="仿宋" w:hAnsi="仿宋" w:eastAsia="仿宋" w:cs="仿宋"/>
                <w:sz w:val="28"/>
                <w:szCs w:val="28"/>
              </w:rPr>
            </w:pPr>
            <w:r>
              <w:rPr>
                <w:rFonts w:hint="eastAsia" w:ascii="仿宋" w:hAnsi="仿宋" w:eastAsia="仿宋" w:cs="仿宋"/>
                <w:sz w:val="28"/>
                <w:szCs w:val="28"/>
              </w:rPr>
              <w:t>演示项目内容效果一般，得4分。</w:t>
            </w:r>
          </w:p>
          <w:p>
            <w:pPr>
              <w:spacing w:line="360" w:lineRule="exact"/>
              <w:rPr>
                <w:rFonts w:hint="eastAsia" w:ascii="仿宋" w:hAnsi="仿宋" w:eastAsia="仿宋" w:cs="仿宋"/>
                <w:sz w:val="28"/>
                <w:szCs w:val="28"/>
              </w:rPr>
            </w:pPr>
            <w:r>
              <w:rPr>
                <w:rFonts w:hint="eastAsia" w:ascii="仿宋" w:hAnsi="仿宋" w:eastAsia="仿宋" w:cs="仿宋"/>
                <w:sz w:val="28"/>
                <w:szCs w:val="28"/>
              </w:rPr>
              <w:t>演示项目内容演示效果差，得1分。</w:t>
            </w:r>
          </w:p>
          <w:p>
            <w:pPr>
              <w:spacing w:line="360" w:lineRule="exact"/>
              <w:rPr>
                <w:rFonts w:hint="eastAsia" w:ascii="仿宋" w:hAnsi="仿宋" w:eastAsia="仿宋" w:cs="仿宋"/>
                <w:sz w:val="28"/>
                <w:szCs w:val="28"/>
              </w:rPr>
            </w:pPr>
            <w:r>
              <w:rPr>
                <w:rFonts w:hint="eastAsia" w:ascii="仿宋" w:hAnsi="仿宋" w:eastAsia="仿宋" w:cs="仿宋"/>
                <w:sz w:val="28"/>
                <w:szCs w:val="28"/>
              </w:rPr>
              <w:t>存在下列四种情况之一的不得分：</w:t>
            </w:r>
          </w:p>
          <w:p>
            <w:pPr>
              <w:spacing w:line="360" w:lineRule="exact"/>
              <w:rPr>
                <w:rFonts w:hint="eastAsia" w:ascii="仿宋" w:hAnsi="仿宋" w:eastAsia="仿宋" w:cs="仿宋"/>
                <w:sz w:val="28"/>
                <w:szCs w:val="28"/>
              </w:rPr>
            </w:pPr>
            <w:r>
              <w:rPr>
                <w:rFonts w:hint="eastAsia" w:ascii="仿宋" w:hAnsi="仿宋" w:eastAsia="仿宋" w:cs="仿宋"/>
                <w:sz w:val="28"/>
                <w:szCs w:val="28"/>
              </w:rPr>
              <w:t>1.未提供样片的；</w:t>
            </w:r>
          </w:p>
          <w:p>
            <w:pPr>
              <w:spacing w:line="360" w:lineRule="exact"/>
              <w:rPr>
                <w:rFonts w:hint="eastAsia" w:ascii="仿宋" w:hAnsi="仿宋" w:eastAsia="仿宋" w:cs="仿宋"/>
                <w:sz w:val="28"/>
                <w:szCs w:val="28"/>
              </w:rPr>
            </w:pPr>
            <w:r>
              <w:rPr>
                <w:rFonts w:hint="eastAsia" w:ascii="仿宋" w:hAnsi="仿宋" w:eastAsia="仿宋" w:cs="仿宋"/>
                <w:sz w:val="28"/>
                <w:szCs w:val="28"/>
              </w:rPr>
              <w:t>2.样片中标注所属学校、课程名称和投标人提供的业绩证明材料中的合同不能对应的；</w:t>
            </w:r>
          </w:p>
          <w:p>
            <w:pPr>
              <w:spacing w:line="360" w:lineRule="exact"/>
              <w:rPr>
                <w:rFonts w:hint="eastAsia" w:ascii="仿宋" w:hAnsi="仿宋" w:eastAsia="仿宋" w:cs="仿宋"/>
                <w:sz w:val="28"/>
                <w:szCs w:val="28"/>
              </w:rPr>
            </w:pPr>
            <w:r>
              <w:rPr>
                <w:rFonts w:hint="eastAsia" w:ascii="仿宋" w:hAnsi="仿宋" w:eastAsia="仿宋" w:cs="仿宋"/>
                <w:sz w:val="28"/>
                <w:szCs w:val="28"/>
              </w:rPr>
              <w:t>3.未提供课程服务团队承诺函或承诺函中未明确列出样片课程服务团队成员名单的；</w:t>
            </w:r>
          </w:p>
          <w:p>
            <w:pPr>
              <w:spacing w:line="360" w:lineRule="exact"/>
              <w:rPr>
                <w:rFonts w:hint="eastAsia" w:ascii="仿宋" w:hAnsi="仿宋" w:eastAsia="仿宋" w:cs="仿宋"/>
                <w:sz w:val="28"/>
                <w:szCs w:val="28"/>
              </w:rPr>
            </w:pPr>
            <w:r>
              <w:rPr>
                <w:rFonts w:hint="eastAsia" w:ascii="仿宋" w:hAnsi="仿宋" w:eastAsia="仿宋" w:cs="仿宋"/>
                <w:sz w:val="28"/>
                <w:szCs w:val="28"/>
              </w:rPr>
              <w:t>4.提供作品样品获奖低于国赛一等奖。</w:t>
            </w:r>
          </w:p>
          <w:p>
            <w:pPr>
              <w:spacing w:line="360" w:lineRule="exact"/>
              <w:rPr>
                <w:rFonts w:hint="eastAsia" w:ascii="仿宋" w:hAnsi="仿宋" w:eastAsia="仿宋" w:cs="仿宋"/>
                <w:sz w:val="28"/>
                <w:szCs w:val="28"/>
              </w:rPr>
            </w:pPr>
            <w:r>
              <w:rPr>
                <w:rFonts w:hint="eastAsia" w:ascii="仿宋" w:hAnsi="仿宋" w:eastAsia="仿宋" w:cs="仿宋"/>
                <w:sz w:val="28"/>
                <w:szCs w:val="28"/>
              </w:rPr>
              <w:t>备注：演示样片U盘存储，开标时密封提交。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4"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功能演示</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18分</w:t>
            </w:r>
          </w:p>
        </w:tc>
        <w:tc>
          <w:tcPr>
            <w:tcW w:w="6659" w:type="dxa"/>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需提供以下功能演示：</w:t>
            </w:r>
          </w:p>
          <w:p>
            <w:pPr>
              <w:numPr>
                <w:ilvl w:val="0"/>
                <w:numId w:val="1"/>
              </w:numPr>
              <w:spacing w:line="360" w:lineRule="exact"/>
              <w:rPr>
                <w:rFonts w:hint="eastAsia" w:ascii="仿宋" w:hAnsi="仿宋" w:eastAsia="仿宋" w:cs="仿宋"/>
                <w:sz w:val="28"/>
                <w:szCs w:val="28"/>
              </w:rPr>
            </w:pPr>
            <w:r>
              <w:rPr>
                <w:rFonts w:hint="eastAsia" w:ascii="仿宋" w:hAnsi="仿宋" w:eastAsia="仿宋" w:cs="仿宋"/>
                <w:sz w:val="28"/>
                <w:szCs w:val="28"/>
              </w:rPr>
              <w:t>智慧教学软件</w:t>
            </w:r>
          </w:p>
          <w:p>
            <w:pPr>
              <w:spacing w:line="360" w:lineRule="exact"/>
              <w:rPr>
                <w:rFonts w:hint="eastAsia" w:ascii="仿宋" w:hAnsi="仿宋" w:eastAsia="仿宋" w:cs="仿宋"/>
                <w:sz w:val="28"/>
                <w:szCs w:val="28"/>
              </w:rPr>
            </w:pPr>
            <w:r>
              <w:rPr>
                <w:rFonts w:hint="eastAsia" w:ascii="仿宋" w:hAnsi="仿宋" w:eastAsia="仿宋" w:cs="仿宋"/>
                <w:sz w:val="28"/>
                <w:szCs w:val="28"/>
              </w:rPr>
              <w:t>1. 软件须支持 PPT+板书：在一台教学主机连接二个触控显示屏幕的教学环境中，可在任一屏中播放PPT、另一屏中板书教学笔记，保持PPT原有的版式、内容、动画效果不变，支持两个屏幕内容一键互换位置，支持将当前放映PPT的页面内容一键截取到板书屏中批注；</w:t>
            </w:r>
          </w:p>
          <w:p>
            <w:pPr>
              <w:spacing w:line="360" w:lineRule="exact"/>
              <w:rPr>
                <w:rFonts w:hint="eastAsia" w:ascii="仿宋" w:hAnsi="仿宋" w:eastAsia="仿宋" w:cs="仿宋"/>
                <w:sz w:val="28"/>
                <w:szCs w:val="28"/>
              </w:rPr>
            </w:pPr>
            <w:r>
              <w:rPr>
                <w:rFonts w:hint="eastAsia" w:ascii="仿宋" w:hAnsi="仿宋" w:eastAsia="仿宋" w:cs="仿宋"/>
                <w:sz w:val="28"/>
                <w:szCs w:val="28"/>
              </w:rPr>
              <w:t>2. 软件须支持截图飞屏：在一台教学主机连接二个触控显示屏幕的教学环境中，在一键截取当前屏幕内容到另一个屏幕中展示与操作，支持一键互换左右屏幕的内容。</w:t>
            </w:r>
          </w:p>
          <w:p>
            <w:pPr>
              <w:spacing w:line="360" w:lineRule="exact"/>
              <w:rPr>
                <w:rFonts w:hint="eastAsia" w:ascii="仿宋" w:hAnsi="仿宋" w:eastAsia="仿宋" w:cs="仿宋"/>
                <w:sz w:val="28"/>
                <w:szCs w:val="28"/>
              </w:rPr>
            </w:pPr>
            <w:r>
              <w:rPr>
                <w:rFonts w:hint="eastAsia" w:ascii="仿宋" w:hAnsi="仿宋" w:eastAsia="仿宋" w:cs="仿宋"/>
                <w:sz w:val="28"/>
                <w:szCs w:val="28"/>
              </w:rPr>
              <w:t>3. 软件须支持PPT上下页连动：在一台教学主机连接二个触控显示屏幕的教学环境中，可在任一屏播放PPT动画，另一屏显示PPT上一页的内容，保持PPT原有的版式、内容、动画效果不变，当PPT播放到下一页/切换到上一页后，显示上一页的屏幕内容会自动跟随切换；</w:t>
            </w:r>
          </w:p>
          <w:p>
            <w:pPr>
              <w:spacing w:line="360" w:lineRule="exact"/>
              <w:rPr>
                <w:rFonts w:hint="eastAsia" w:ascii="仿宋" w:hAnsi="仿宋" w:eastAsia="仿宋" w:cs="仿宋"/>
                <w:sz w:val="28"/>
                <w:szCs w:val="28"/>
              </w:rPr>
            </w:pPr>
            <w:r>
              <w:rPr>
                <w:rFonts w:hint="eastAsia" w:ascii="仿宋" w:hAnsi="仿宋" w:eastAsia="仿宋" w:cs="仿宋"/>
                <w:sz w:val="28"/>
                <w:szCs w:val="28"/>
              </w:rPr>
              <w:t>4. 软件须支持屏幕穿越：课件可从一个屏幕穿越到另外一个屏幕，穿越后自动全屏展示，课件类型包含但不限于图片、音视频文件、Office文档、URL、SWF、PDF等。</w:t>
            </w:r>
          </w:p>
          <w:p>
            <w:pPr>
              <w:spacing w:line="360" w:lineRule="exact"/>
              <w:rPr>
                <w:rFonts w:hint="eastAsia" w:ascii="仿宋" w:hAnsi="仿宋" w:eastAsia="仿宋" w:cs="仿宋"/>
                <w:sz w:val="28"/>
                <w:szCs w:val="28"/>
              </w:rPr>
            </w:pPr>
            <w:r>
              <w:rPr>
                <w:rFonts w:hint="eastAsia" w:ascii="仿宋" w:hAnsi="仿宋" w:eastAsia="仿宋" w:cs="仿宋"/>
                <w:sz w:val="28"/>
                <w:szCs w:val="28"/>
              </w:rPr>
              <w:t>5. 须支持软件可支持内嵌应用：打开Office、Pdf、图片、视频、URL等文件时以内嵌应用窗口的方式浮现在软件界面之上，并保持文档的原有版式、内容和动画效果不变，支持上述任意多个应用文档的同时开启与展示，支持全屏与窗口的相互切换，支持多指手势操作，可将文档划出屏幕的显示范围并一键唤回。</w:t>
            </w:r>
          </w:p>
          <w:p>
            <w:pPr>
              <w:spacing w:line="360" w:lineRule="exact"/>
              <w:rPr>
                <w:rFonts w:hint="eastAsia" w:ascii="仿宋" w:hAnsi="仿宋" w:eastAsia="仿宋" w:cs="仿宋"/>
                <w:sz w:val="28"/>
                <w:szCs w:val="28"/>
              </w:rPr>
            </w:pPr>
            <w:r>
              <w:rPr>
                <w:rFonts w:hint="eastAsia" w:ascii="仿宋" w:hAnsi="仿宋" w:eastAsia="仿宋" w:cs="仿宋"/>
                <w:sz w:val="28"/>
                <w:szCs w:val="28"/>
              </w:rPr>
              <w:t>6. 软件须支持触控手势操作：通过手势可对内嵌应用窗口操作，包括单指拖动可移动位置，双指撑开/合拢可缩放视图大小，左右滑屏可控制PPT向前/向后播放，上下滑屏可滚动Word、Pdf、网页的显示内容；单指可漫游PPT、图片的可视区域，单指按住播放器的任何位置拖动可快进/快退，多指下拉可调出黑板。</w:t>
            </w:r>
          </w:p>
          <w:p>
            <w:pPr>
              <w:spacing w:line="360" w:lineRule="exact"/>
              <w:rPr>
                <w:rFonts w:hint="eastAsia" w:ascii="仿宋" w:hAnsi="仿宋" w:eastAsia="仿宋" w:cs="仿宋"/>
                <w:sz w:val="28"/>
                <w:szCs w:val="28"/>
              </w:rPr>
            </w:pPr>
            <w:r>
              <w:rPr>
                <w:rFonts w:hint="eastAsia" w:ascii="仿宋" w:hAnsi="仿宋" w:eastAsia="仿宋" w:cs="仿宋"/>
                <w:sz w:val="28"/>
                <w:szCs w:val="28"/>
              </w:rPr>
              <w:t>二、虚拟仿真软件开发引擎</w:t>
            </w:r>
          </w:p>
          <w:p>
            <w:pPr>
              <w:spacing w:line="360" w:lineRule="exact"/>
              <w:rPr>
                <w:rFonts w:hint="eastAsia" w:ascii="仿宋" w:hAnsi="仿宋" w:eastAsia="仿宋" w:cs="仿宋"/>
                <w:sz w:val="28"/>
                <w:szCs w:val="28"/>
              </w:rPr>
            </w:pPr>
            <w:r>
              <w:rPr>
                <w:rFonts w:hint="eastAsia" w:ascii="仿宋" w:hAnsi="仿宋" w:eastAsia="仿宋" w:cs="仿宋"/>
                <w:sz w:val="28"/>
                <w:szCs w:val="28"/>
              </w:rPr>
              <w:t>1.演示虚拟仿真软件开发引擎的开放式软件开发技术：通过文本驱动的开放式软件开发技术。</w:t>
            </w:r>
          </w:p>
          <w:p>
            <w:pPr>
              <w:spacing w:line="360" w:lineRule="exact"/>
              <w:rPr>
                <w:rFonts w:hint="eastAsia" w:ascii="仿宋" w:hAnsi="仿宋" w:eastAsia="仿宋" w:cs="仿宋"/>
                <w:sz w:val="28"/>
                <w:szCs w:val="28"/>
              </w:rPr>
            </w:pPr>
            <w:r>
              <w:rPr>
                <w:rFonts w:hint="eastAsia" w:ascii="仿宋" w:hAnsi="仿宋" w:eastAsia="仿宋" w:cs="仿宋"/>
                <w:sz w:val="28"/>
                <w:szCs w:val="28"/>
              </w:rPr>
              <w:t>2.演示虚拟仿真软件开发引擎的理虚实一体化关联技术：理论公式、虚拟动画、真实变形效果能够相互关联变化。</w:t>
            </w:r>
          </w:p>
          <w:p>
            <w:pPr>
              <w:spacing w:line="360" w:lineRule="exact"/>
              <w:rPr>
                <w:rFonts w:hint="eastAsia" w:ascii="仿宋" w:hAnsi="仿宋" w:eastAsia="仿宋" w:cs="仿宋"/>
                <w:sz w:val="28"/>
                <w:szCs w:val="28"/>
              </w:rPr>
            </w:pPr>
            <w:r>
              <w:rPr>
                <w:rFonts w:hint="eastAsia" w:ascii="仿宋" w:hAnsi="仿宋" w:eastAsia="仿宋" w:cs="仿宋"/>
                <w:sz w:val="28"/>
                <w:szCs w:val="28"/>
              </w:rPr>
              <w:t>3.演示虚拟仿真软件开发引擎的部分功能：1）部件透明功能：通过在EXCEL表格中设置物体的透明；2）部件高亮功能：通过在ECXEL表格中设置物体高亮；3）部件位置设置：通过调用EXCEL表中部件位置信息设置部件位置。</w:t>
            </w:r>
          </w:p>
          <w:p>
            <w:pPr>
              <w:spacing w:line="360" w:lineRule="exact"/>
              <w:rPr>
                <w:rFonts w:hint="eastAsia" w:ascii="仿宋" w:hAnsi="仿宋" w:eastAsia="仿宋" w:cs="仿宋"/>
                <w:sz w:val="28"/>
                <w:szCs w:val="28"/>
              </w:rPr>
            </w:pPr>
            <w:r>
              <w:rPr>
                <w:rFonts w:hint="eastAsia" w:ascii="仿宋" w:hAnsi="仿宋" w:eastAsia="仿宋" w:cs="仿宋"/>
                <w:sz w:val="28"/>
                <w:szCs w:val="28"/>
              </w:rPr>
              <w:t>以上功能全部演示完成得18分，演示内容每缺一小项扣2分，扣完为止。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vMerge w:val="restart"/>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商务部分</w:t>
            </w:r>
          </w:p>
          <w:p>
            <w:pPr>
              <w:pStyle w:val="2"/>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（30分）</w:t>
            </w:r>
          </w:p>
        </w:tc>
        <w:tc>
          <w:tcPr>
            <w:tcW w:w="1200" w:type="dxa"/>
            <w:vMerge w:val="restart"/>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供应商实力</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2分</w:t>
            </w:r>
          </w:p>
        </w:tc>
        <w:tc>
          <w:tcPr>
            <w:tcW w:w="6659" w:type="dxa"/>
            <w:noWrap w:val="0"/>
            <w:vAlign w:val="center"/>
          </w:tcPr>
          <w:p>
            <w:pPr>
              <w:rPr>
                <w:rFonts w:hint="eastAsia" w:ascii="仿宋" w:hAnsi="仿宋" w:eastAsia="仿宋" w:cs="仿宋"/>
                <w:color w:val="000000"/>
                <w:sz w:val="28"/>
                <w:szCs w:val="28"/>
              </w:rPr>
            </w:pPr>
            <w:r>
              <w:rPr>
                <w:rFonts w:hint="eastAsia" w:ascii="仿宋" w:hAnsi="仿宋" w:eastAsia="仿宋" w:cs="仿宋"/>
                <w:color w:val="000000"/>
                <w:sz w:val="28"/>
                <w:szCs w:val="28"/>
              </w:rPr>
              <w:t>供应商具有AAA信用等级证书、广播电视经营许可证。（同时具备得2分，缺项得0分。）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vMerge w:val="continue"/>
            <w:noWrap w:val="0"/>
            <w:vAlign w:val="center"/>
          </w:tcPr>
          <w:p>
            <w:pPr>
              <w:spacing w:line="360" w:lineRule="exact"/>
              <w:jc w:val="center"/>
              <w:rPr>
                <w:rFonts w:hint="eastAsia" w:ascii="仿宋" w:hAnsi="仿宋" w:eastAsia="仿宋" w:cs="仿宋"/>
                <w:sz w:val="28"/>
                <w:szCs w:val="28"/>
              </w:rPr>
            </w:pP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6分</w:t>
            </w:r>
          </w:p>
        </w:tc>
        <w:tc>
          <w:tcPr>
            <w:tcW w:w="6659" w:type="dxa"/>
            <w:noWrap w:val="0"/>
            <w:vAlign w:val="center"/>
          </w:tcPr>
          <w:p>
            <w:pPr>
              <w:spacing w:line="360" w:lineRule="exact"/>
              <w:rPr>
                <w:rFonts w:hint="eastAsia" w:ascii="仿宋" w:hAnsi="仿宋" w:eastAsia="仿宋" w:cs="仿宋"/>
                <w:color w:val="000000"/>
                <w:sz w:val="28"/>
                <w:szCs w:val="28"/>
              </w:rPr>
            </w:pPr>
            <w:r>
              <w:rPr>
                <w:rFonts w:hint="eastAsia" w:ascii="仿宋" w:hAnsi="仿宋" w:eastAsia="仿宋" w:cs="仿宋"/>
                <w:color w:val="000000"/>
                <w:sz w:val="28"/>
                <w:szCs w:val="28"/>
              </w:rPr>
              <w:t>1.投标人具有规范化管理体系，提供质量管理体系认证证书、职业健康安全管理体系认证证书、环境管理体系认证证书、信息技术服务管理体系认证证书、信息安全管理体系认证证书，同时提供得3分，未提供或提供不全不得分。（以上体系认证证书需在有效期内，同时应提供全国认证认可信息公共服务平台网站查询管理体系认证证书公众查询结果的截图，且查询结果的内容状态显示有效为准，否则不得分。）。</w:t>
            </w:r>
          </w:p>
          <w:p>
            <w:pPr>
              <w:spacing w:line="360" w:lineRule="exact"/>
              <w:rPr>
                <w:rFonts w:hint="eastAsia" w:ascii="仿宋" w:hAnsi="仿宋" w:eastAsia="仿宋" w:cs="仿宋"/>
                <w:color w:val="000000"/>
                <w:sz w:val="28"/>
                <w:szCs w:val="28"/>
              </w:rPr>
            </w:pPr>
            <w:r>
              <w:rPr>
                <w:rFonts w:hint="eastAsia" w:ascii="仿宋" w:hAnsi="仿宋" w:eastAsia="仿宋" w:cs="仿宋"/>
                <w:color w:val="000000"/>
                <w:sz w:val="28"/>
                <w:szCs w:val="28"/>
              </w:rPr>
              <w:t>2、投标人具有国家知识产权局颁发的微课开发工具、视频资源制作、教学资源管理平台、微课制作实训教学系统软件著作权证书扫描件，每提供1项得0.5分，共2分。</w:t>
            </w:r>
          </w:p>
          <w:p>
            <w:pPr>
              <w:spacing w:line="360" w:lineRule="exact"/>
              <w:rPr>
                <w:rFonts w:hint="eastAsia" w:ascii="仿宋" w:hAnsi="仿宋" w:eastAsia="仿宋" w:cs="仿宋"/>
                <w:color w:val="000000"/>
                <w:sz w:val="28"/>
                <w:szCs w:val="28"/>
              </w:rPr>
            </w:pPr>
            <w:r>
              <w:rPr>
                <w:rFonts w:hint="eastAsia" w:ascii="仿宋" w:hAnsi="仿宋" w:eastAsia="仿宋" w:cs="仿宋"/>
                <w:color w:val="000000"/>
                <w:sz w:val="28"/>
                <w:szCs w:val="28"/>
              </w:rPr>
              <w:t>3、投标人具备软件产品评估和软件企业评估认定证书，提供扫描件得1分，不提供不得分。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vMerge w:val="restart"/>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业绩案例</w:t>
            </w:r>
          </w:p>
          <w:p>
            <w:pPr>
              <w:pStyle w:val="2"/>
              <w:ind w:left="0" w:leftChars="0" w:firstLine="0" w:firstLineChars="0"/>
              <w:rPr>
                <w:rFonts w:hint="eastAsia" w:ascii="仿宋" w:hAnsi="仿宋" w:eastAsia="仿宋" w:cs="仿宋"/>
                <w:sz w:val="28"/>
                <w:szCs w:val="28"/>
              </w:rPr>
            </w:pP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2分</w:t>
            </w:r>
          </w:p>
        </w:tc>
        <w:tc>
          <w:tcPr>
            <w:tcW w:w="6659" w:type="dxa"/>
            <w:noWrap w:val="0"/>
            <w:vAlign w:val="center"/>
          </w:tcPr>
          <w:p>
            <w:pPr>
              <w:snapToGrid w:val="0"/>
              <w:rPr>
                <w:rFonts w:hint="eastAsia" w:ascii="仿宋" w:hAnsi="仿宋" w:eastAsia="仿宋" w:cs="仿宋"/>
                <w:color w:val="000000"/>
                <w:sz w:val="28"/>
                <w:szCs w:val="28"/>
              </w:rPr>
            </w:pPr>
            <w:r>
              <w:rPr>
                <w:rFonts w:hint="eastAsia" w:ascii="仿宋" w:hAnsi="仿宋" w:eastAsia="仿宋" w:cs="仿宋"/>
                <w:color w:val="000000"/>
                <w:sz w:val="28"/>
                <w:szCs w:val="28"/>
              </w:rPr>
              <w:t>供应商提供已立项国家级高水平专业群课程建设项目业绩得2分。（须提供中标公告截图、中标通知书及采购合同扫描件。）</w:t>
            </w:r>
            <w:bookmarkStart w:id="0" w:name="2.投标人具备国家级专业资源库平台门户网站设计项目成功案例得2分。（须提供中标通"/>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vMerge w:val="continue"/>
            <w:noWrap w:val="0"/>
            <w:vAlign w:val="center"/>
          </w:tcPr>
          <w:p>
            <w:pPr>
              <w:spacing w:line="360" w:lineRule="exact"/>
              <w:jc w:val="center"/>
              <w:rPr>
                <w:rFonts w:hint="eastAsia" w:ascii="仿宋" w:hAnsi="仿宋" w:eastAsia="仿宋" w:cs="仿宋"/>
                <w:sz w:val="28"/>
                <w:szCs w:val="28"/>
              </w:rPr>
            </w:pP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7分</w:t>
            </w:r>
          </w:p>
        </w:tc>
        <w:tc>
          <w:tcPr>
            <w:tcW w:w="6659" w:type="dxa"/>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供应商提供教师教学能力大赛建设项目业绩，每提供一份得0.5分，最高得7分。（须提供类似业绩的中标通知书或采购合同原件）。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vMerge w:val="continue"/>
            <w:noWrap w:val="0"/>
            <w:vAlign w:val="center"/>
          </w:tcPr>
          <w:p>
            <w:pPr>
              <w:spacing w:line="360" w:lineRule="exact"/>
              <w:jc w:val="center"/>
              <w:rPr>
                <w:rFonts w:hint="eastAsia" w:ascii="仿宋" w:hAnsi="仿宋" w:eastAsia="仿宋" w:cs="仿宋"/>
                <w:sz w:val="28"/>
                <w:szCs w:val="28"/>
              </w:rPr>
            </w:pP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4分</w:t>
            </w:r>
          </w:p>
        </w:tc>
        <w:tc>
          <w:tcPr>
            <w:tcW w:w="6659" w:type="dxa"/>
            <w:noWrap w:val="0"/>
            <w:vAlign w:val="center"/>
          </w:tcPr>
          <w:p>
            <w:pPr>
              <w:snapToGrid w:val="0"/>
              <w:rPr>
                <w:rFonts w:hint="eastAsia" w:ascii="仿宋" w:hAnsi="仿宋" w:eastAsia="仿宋" w:cs="仿宋"/>
                <w:color w:val="000000"/>
                <w:sz w:val="28"/>
                <w:szCs w:val="28"/>
              </w:rPr>
            </w:pPr>
            <w:r>
              <w:rPr>
                <w:rFonts w:hint="eastAsia" w:ascii="仿宋" w:hAnsi="仿宋" w:eastAsia="仿宋" w:cs="仿宋"/>
                <w:color w:val="000000"/>
                <w:sz w:val="28"/>
                <w:szCs w:val="28"/>
              </w:rPr>
              <w:t>供应商提供已立项国家级专业资源库建设项目业绩，每提供一份得0.5分，最高得4分。（同一专业资源库下重复业绩合同按一份业绩计算，须提供类似业绩的中标通知书或采购合同扫描件。）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服务能力</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4分</w:t>
            </w:r>
          </w:p>
        </w:tc>
        <w:tc>
          <w:tcPr>
            <w:tcW w:w="6659" w:type="dxa"/>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根据供应商的售后服务机构配置情况进行横向比较，有明确、合理、可行的售后服务方案、售后服务承诺、保障措施等，</w:t>
            </w:r>
          </w:p>
          <w:p>
            <w:pPr>
              <w:spacing w:line="360" w:lineRule="exact"/>
              <w:rPr>
                <w:rFonts w:hint="eastAsia" w:ascii="仿宋" w:hAnsi="仿宋" w:eastAsia="仿宋" w:cs="仿宋"/>
                <w:sz w:val="28"/>
                <w:szCs w:val="28"/>
              </w:rPr>
            </w:pPr>
            <w:r>
              <w:rPr>
                <w:rFonts w:hint="eastAsia" w:ascii="仿宋" w:hAnsi="仿宋" w:eastAsia="仿宋" w:cs="仿宋"/>
                <w:sz w:val="28"/>
                <w:szCs w:val="28"/>
              </w:rPr>
              <w:t>1.售后服务方案内容完整，合理得4分。</w:t>
            </w:r>
          </w:p>
          <w:p>
            <w:pPr>
              <w:spacing w:line="360" w:lineRule="exact"/>
              <w:rPr>
                <w:rFonts w:hint="eastAsia" w:ascii="仿宋" w:hAnsi="仿宋" w:eastAsia="仿宋" w:cs="仿宋"/>
                <w:sz w:val="28"/>
                <w:szCs w:val="28"/>
              </w:rPr>
            </w:pPr>
            <w:r>
              <w:rPr>
                <w:rFonts w:hint="eastAsia" w:ascii="仿宋" w:hAnsi="仿宋" w:eastAsia="仿宋" w:cs="仿宋"/>
                <w:sz w:val="28"/>
                <w:szCs w:val="28"/>
              </w:rPr>
              <w:t>2.售后服务方案内容基本完整，合理得2分。</w:t>
            </w:r>
          </w:p>
          <w:p>
            <w:pPr>
              <w:spacing w:line="360" w:lineRule="exact"/>
              <w:rPr>
                <w:rFonts w:hint="eastAsia" w:ascii="仿宋" w:hAnsi="仿宋" w:eastAsia="仿宋" w:cs="仿宋"/>
                <w:sz w:val="28"/>
                <w:szCs w:val="28"/>
              </w:rPr>
            </w:pPr>
            <w:r>
              <w:rPr>
                <w:rFonts w:hint="eastAsia" w:ascii="仿宋" w:hAnsi="仿宋" w:eastAsia="仿宋" w:cs="仿宋"/>
                <w:sz w:val="28"/>
                <w:szCs w:val="28"/>
              </w:rPr>
              <w:t>3.售后服务方案内容有缺项得1分。</w:t>
            </w:r>
          </w:p>
          <w:p>
            <w:pPr>
              <w:spacing w:line="360" w:lineRule="exact"/>
              <w:rPr>
                <w:rFonts w:hint="eastAsia" w:ascii="仿宋" w:hAnsi="仿宋" w:eastAsia="仿宋" w:cs="仿宋"/>
                <w:sz w:val="28"/>
                <w:szCs w:val="28"/>
              </w:rPr>
            </w:pPr>
            <w:r>
              <w:rPr>
                <w:rFonts w:hint="eastAsia" w:ascii="仿宋" w:hAnsi="仿宋" w:eastAsia="仿宋" w:cs="仿宋"/>
                <w:sz w:val="28"/>
                <w:szCs w:val="28"/>
              </w:rPr>
              <w:t>未提供售后服务方案的不得分。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jc w:val="center"/>
        </w:trPr>
        <w:tc>
          <w:tcPr>
            <w:tcW w:w="730" w:type="dxa"/>
            <w:vMerge w:val="continue"/>
            <w:noWrap w:val="0"/>
            <w:vAlign w:val="center"/>
          </w:tcPr>
          <w:p>
            <w:pPr>
              <w:spacing w:line="360" w:lineRule="exact"/>
              <w:jc w:val="center"/>
              <w:rPr>
                <w:rFonts w:hint="eastAsia" w:ascii="仿宋" w:hAnsi="仿宋" w:eastAsia="仿宋" w:cs="仿宋"/>
                <w:sz w:val="28"/>
                <w:szCs w:val="28"/>
              </w:rPr>
            </w:pPr>
          </w:p>
        </w:tc>
        <w:tc>
          <w:tcPr>
            <w:tcW w:w="1200"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组织方案</w:t>
            </w:r>
          </w:p>
        </w:tc>
        <w:tc>
          <w:tcPr>
            <w:tcW w:w="731" w:type="dxa"/>
            <w:noWrap w:val="0"/>
            <w:vAlign w:val="center"/>
          </w:tcPr>
          <w:p>
            <w:pPr>
              <w:spacing w:line="360" w:lineRule="exact"/>
              <w:jc w:val="center"/>
              <w:rPr>
                <w:rFonts w:hint="eastAsia" w:ascii="仿宋" w:hAnsi="仿宋" w:eastAsia="仿宋" w:cs="仿宋"/>
                <w:sz w:val="28"/>
                <w:szCs w:val="28"/>
              </w:rPr>
            </w:pPr>
            <w:r>
              <w:rPr>
                <w:rFonts w:hint="eastAsia" w:ascii="仿宋" w:hAnsi="仿宋" w:eastAsia="仿宋" w:cs="仿宋"/>
                <w:sz w:val="28"/>
                <w:szCs w:val="28"/>
              </w:rPr>
              <w:t>5分</w:t>
            </w:r>
          </w:p>
        </w:tc>
        <w:tc>
          <w:tcPr>
            <w:tcW w:w="6659" w:type="dxa"/>
            <w:noWrap w:val="0"/>
            <w:vAlign w:val="center"/>
          </w:tcPr>
          <w:p>
            <w:pPr>
              <w:spacing w:line="360" w:lineRule="exact"/>
              <w:rPr>
                <w:rFonts w:hint="eastAsia" w:ascii="仿宋" w:hAnsi="仿宋" w:eastAsia="仿宋" w:cs="仿宋"/>
                <w:sz w:val="28"/>
                <w:szCs w:val="28"/>
              </w:rPr>
            </w:pPr>
            <w:r>
              <w:rPr>
                <w:rFonts w:hint="eastAsia" w:ascii="仿宋" w:hAnsi="仿宋" w:eastAsia="仿宋" w:cs="仿宋"/>
                <w:sz w:val="28"/>
                <w:szCs w:val="28"/>
              </w:rPr>
              <w:t>投标人需提供完善的制作实施计划书，至少包括制作周期、制作人员安排，校赛评选，备战计划评委根据其计划书的合理性和人员安排进行打分。</w:t>
            </w:r>
          </w:p>
          <w:p>
            <w:pPr>
              <w:spacing w:line="360" w:lineRule="exact"/>
              <w:rPr>
                <w:rFonts w:hint="eastAsia" w:ascii="仿宋" w:hAnsi="仿宋" w:eastAsia="仿宋" w:cs="仿宋"/>
                <w:sz w:val="28"/>
                <w:szCs w:val="28"/>
              </w:rPr>
            </w:pPr>
            <w:r>
              <w:rPr>
                <w:rFonts w:hint="eastAsia" w:ascii="仿宋" w:hAnsi="仿宋" w:eastAsia="仿宋" w:cs="仿宋"/>
                <w:sz w:val="28"/>
                <w:szCs w:val="28"/>
              </w:rPr>
              <w:t>1.组织方案内容完整，合理得5分。</w:t>
            </w:r>
          </w:p>
          <w:p>
            <w:pPr>
              <w:spacing w:line="360" w:lineRule="exact"/>
              <w:rPr>
                <w:rFonts w:hint="eastAsia" w:ascii="仿宋" w:hAnsi="仿宋" w:eastAsia="仿宋" w:cs="仿宋"/>
                <w:sz w:val="28"/>
                <w:szCs w:val="28"/>
              </w:rPr>
            </w:pPr>
            <w:r>
              <w:rPr>
                <w:rFonts w:hint="eastAsia" w:ascii="仿宋" w:hAnsi="仿宋" w:eastAsia="仿宋" w:cs="仿宋"/>
                <w:sz w:val="28"/>
                <w:szCs w:val="28"/>
              </w:rPr>
              <w:t>2.组织方案内容基本完整，合理得3分。</w:t>
            </w:r>
          </w:p>
          <w:p>
            <w:pPr>
              <w:spacing w:line="360" w:lineRule="exact"/>
              <w:rPr>
                <w:rFonts w:hint="eastAsia" w:ascii="仿宋" w:hAnsi="仿宋" w:eastAsia="仿宋" w:cs="仿宋"/>
                <w:sz w:val="28"/>
                <w:szCs w:val="28"/>
              </w:rPr>
            </w:pPr>
            <w:r>
              <w:rPr>
                <w:rFonts w:hint="eastAsia" w:ascii="仿宋" w:hAnsi="仿宋" w:eastAsia="仿宋" w:cs="仿宋"/>
                <w:sz w:val="28"/>
                <w:szCs w:val="28"/>
              </w:rPr>
              <w:t>3.组织方案内容有缺项得1分。</w:t>
            </w:r>
          </w:p>
          <w:p>
            <w:pPr>
              <w:spacing w:line="360" w:lineRule="exact"/>
              <w:rPr>
                <w:rFonts w:hint="eastAsia" w:ascii="仿宋" w:hAnsi="仿宋" w:eastAsia="仿宋" w:cs="仿宋"/>
                <w:sz w:val="28"/>
                <w:szCs w:val="28"/>
              </w:rPr>
            </w:pPr>
            <w:r>
              <w:rPr>
                <w:rFonts w:hint="eastAsia" w:ascii="仿宋" w:hAnsi="仿宋" w:eastAsia="仿宋" w:cs="仿宋"/>
                <w:sz w:val="28"/>
                <w:szCs w:val="28"/>
              </w:rPr>
              <w:t>未提供组织方案的不得分。</w:t>
            </w:r>
          </w:p>
        </w:tc>
      </w:tr>
    </w:tbl>
    <w:p>
      <w:pPr>
        <w:pStyle w:val="4"/>
        <w:ind w:left="98" w:leftChars="0" w:hanging="98" w:hangingChars="47"/>
        <w:rPr>
          <w:rFonts w:hint="eastAsia"/>
          <w:color w:val="000000"/>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jc w:val="center"/>
                          </w:pPr>
                          <w:r>
                            <w:fldChar w:fldCharType="begin"/>
                          </w:r>
                          <w:r>
                            <w:instrText xml:space="preserve"> PAGE   \* MERGEFORMAT </w:instrText>
                          </w:r>
                          <w:r>
                            <w:fldChar w:fldCharType="separate"/>
                          </w:r>
                          <w:r>
                            <w:rPr>
                              <w:lang w:val="zh-CN"/>
                            </w:rPr>
                            <w:t>20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5"/>
                      <w:jc w:val="center"/>
                    </w:pPr>
                    <w:r>
                      <w:fldChar w:fldCharType="begin"/>
                    </w:r>
                    <w:r>
                      <w:instrText xml:space="preserve"> PAGE   \* MERGEFORMAT </w:instrText>
                    </w:r>
                    <w:r>
                      <w:fldChar w:fldCharType="separate"/>
                    </w:r>
                    <w:r>
                      <w:rPr>
                        <w:lang w:val="zh-CN"/>
                      </w:rPr>
                      <w:t>20</w:t>
                    </w:r>
                    <w:r>
                      <w:fldChar w:fldCharType="end"/>
                    </w:r>
                  </w:p>
                </w:txbxContent>
              </v:textbox>
            </v:shape>
          </w:pict>
        </mc:Fallback>
      </mc:AlternateContent>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9E0187"/>
    <w:multiLevelType w:val="singleLevel"/>
    <w:tmpl w:val="B89E018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3D552E"/>
    <w:rsid w:val="353D5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0"/>
    <w:pPr>
      <w:spacing w:after="120" w:line="240" w:lineRule="auto"/>
      <w:ind w:left="420" w:leftChars="200" w:firstLine="420" w:firstLineChars="200"/>
    </w:pPr>
    <w:rPr>
      <w:rFonts w:ascii="Times New Roman" w:hAnsi="Times New Roman"/>
      <w:kern w:val="2"/>
      <w:sz w:val="21"/>
    </w:rPr>
  </w:style>
  <w:style w:type="paragraph" w:styleId="3">
    <w:name w:val="Body Text Indent"/>
    <w:basedOn w:val="1"/>
    <w:qFormat/>
    <w:uiPriority w:val="0"/>
    <w:pPr>
      <w:spacing w:after="120"/>
      <w:ind w:left="420" w:leftChars="200"/>
    </w:pPr>
    <w:rPr>
      <w:kern w:val="0"/>
      <w:sz w:val="20"/>
    </w:rPr>
  </w:style>
  <w:style w:type="paragraph" w:styleId="4">
    <w:name w:val="List 2"/>
    <w:basedOn w:val="1"/>
    <w:qFormat/>
    <w:uiPriority w:val="0"/>
    <w:pPr>
      <w:autoSpaceDE/>
      <w:autoSpaceDN/>
      <w:ind w:left="100" w:leftChars="200" w:hanging="200" w:hangingChars="200"/>
      <w:contextualSpacing/>
      <w:jc w:val="both"/>
    </w:pPr>
    <w:rPr>
      <w:rFonts w:ascii="Times New Roman" w:hAnsi="Times New Roman" w:eastAsia="宋体" w:cs="Times New Roman"/>
      <w:kern w:val="2"/>
      <w:sz w:val="21"/>
      <w:szCs w:val="20"/>
      <w:lang w:eastAsia="zh-CN"/>
    </w:rPr>
  </w:style>
  <w:style w:type="paragraph" w:styleId="5">
    <w:name w:val="footer"/>
    <w:basedOn w:val="1"/>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Office_11.1.0.11220_F1E327BC-269C-435d-A152-05C5408002CA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2022-04-02T08:33:00Z</dcterms:created>
  <dc:creator>赵文忠新号</dc:creator>
  <cp:lastModifiedBy>赵文忠新号</cp:lastModifiedBy>
  <dcterms:modified xsi:type="dcterms:W3CDTF">2022-04-02T08:35:57Z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2052-11.1.0.11220</vt:lpwstr>
  </property>
  <property fmtid="{D5CDD505-2E9C-101B-9397-08002B2CF9AE}" pid="3" name="ICV">
    <vt:lpwstr>5C65F1ACAD444571A1AB1DB9F4A585C9</vt:lpwstr>
  </property>
</Properties>
</file>