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6"/>
          <w:szCs w:val="36"/>
        </w:rPr>
      </w:pPr>
      <w:r>
        <w:rPr>
          <w:rFonts w:hint="eastAsia" w:ascii="黑体" w:hAnsi="黑体" w:eastAsia="黑体"/>
          <w:sz w:val="36"/>
          <w:szCs w:val="36"/>
        </w:rPr>
        <w:t>郑州卫生健康职业学院</w:t>
      </w:r>
    </w:p>
    <w:p>
      <w:pPr>
        <w:ind w:left="0" w:leftChars="0" w:firstLine="0" w:firstLineChars="0"/>
        <w:jc w:val="center"/>
        <w:rPr>
          <w:rFonts w:ascii="黑体" w:hAnsi="黑体" w:eastAsia="黑体"/>
          <w:sz w:val="36"/>
          <w:szCs w:val="36"/>
        </w:rPr>
      </w:pPr>
      <w:r>
        <w:rPr>
          <w:rFonts w:ascii="黑体" w:hAnsi="黑体" w:eastAsia="黑体"/>
          <w:sz w:val="36"/>
          <w:szCs w:val="36"/>
        </w:rPr>
        <w:t>教师素质提高计划“十四五”规划(2021—2025年）</w:t>
      </w:r>
    </w:p>
    <w:p>
      <w:pPr>
        <w:ind w:left="1474" w:leftChars="702" w:right="1186" w:rightChars="565" w:firstLine="423" w:firstLineChars="134"/>
        <w:rPr>
          <w:rFonts w:ascii="仿宋" w:hAnsi="仿宋" w:eastAsia="仿宋" w:cs="仿宋"/>
          <w:spacing w:val="8"/>
          <w:sz w:val="30"/>
          <w:szCs w:val="30"/>
        </w:rPr>
      </w:pPr>
    </w:p>
    <w:p>
      <w:pPr>
        <w:spacing w:line="360" w:lineRule="auto"/>
        <w:ind w:left="13" w:leftChars="6" w:right="-92" w:rightChars="-44" w:firstLine="404" w:firstLineChars="128"/>
        <w:rPr>
          <w:rFonts w:hint="eastAsia" w:ascii="仿宋" w:hAnsi="仿宋" w:eastAsia="仿宋" w:cs="仿宋"/>
          <w:sz w:val="28"/>
          <w:szCs w:val="28"/>
          <w:lang w:eastAsia="zh-CN"/>
        </w:rPr>
      </w:pPr>
      <w:r>
        <w:rPr>
          <w:rFonts w:ascii="仿宋" w:hAnsi="仿宋" w:eastAsia="仿宋" w:cs="仿宋"/>
          <w:spacing w:val="8"/>
          <w:sz w:val="30"/>
          <w:szCs w:val="30"/>
        </w:rPr>
        <w:t>为</w:t>
      </w:r>
      <w:r>
        <w:rPr>
          <w:rFonts w:hint="eastAsia" w:ascii="仿宋" w:hAnsi="仿宋" w:eastAsia="仿宋" w:cs="仿宋"/>
          <w:sz w:val="28"/>
          <w:szCs w:val="28"/>
        </w:rPr>
        <w:t>深入贯彻习近平总书记关于职业教育的重要指示，</w:t>
      </w:r>
      <w:r>
        <w:rPr>
          <w:rFonts w:ascii="仿宋" w:hAnsi="仿宋" w:eastAsia="仿宋" w:cs="仿宋"/>
          <w:spacing w:val="8"/>
          <w:sz w:val="30"/>
          <w:szCs w:val="30"/>
        </w:rPr>
        <w:t>进一步明确学校</w:t>
      </w:r>
      <w:r>
        <w:rPr>
          <w:rFonts w:ascii="Times New Roman" w:hAnsi="Times New Roman" w:eastAsia="Times New Roman" w:cs="Times New Roman"/>
          <w:spacing w:val="8"/>
          <w:sz w:val="30"/>
          <w:szCs w:val="30"/>
        </w:rPr>
        <w:t>“</w:t>
      </w:r>
      <w:r>
        <w:rPr>
          <w:rFonts w:ascii="仿宋" w:hAnsi="仿宋" w:eastAsia="仿宋" w:cs="仿宋"/>
          <w:spacing w:val="8"/>
          <w:sz w:val="30"/>
          <w:szCs w:val="30"/>
        </w:rPr>
        <w:t>十四五</w:t>
      </w:r>
      <w:r>
        <w:rPr>
          <w:rFonts w:ascii="Times New Roman" w:hAnsi="Times New Roman" w:eastAsia="Times New Roman" w:cs="Times New Roman"/>
          <w:spacing w:val="8"/>
          <w:sz w:val="30"/>
          <w:szCs w:val="30"/>
        </w:rPr>
        <w:t>”</w:t>
      </w:r>
      <w:r>
        <w:rPr>
          <w:rFonts w:ascii="仿宋" w:hAnsi="仿宋" w:eastAsia="仿宋" w:cs="仿宋"/>
          <w:spacing w:val="8"/>
          <w:sz w:val="30"/>
          <w:szCs w:val="30"/>
        </w:rPr>
        <w:t>时期教育事业改革发展的目标和</w:t>
      </w:r>
      <w:r>
        <w:rPr>
          <w:rFonts w:ascii="仿宋" w:hAnsi="仿宋" w:eastAsia="仿宋" w:cs="仿宋"/>
          <w:spacing w:val="-4"/>
          <w:sz w:val="30"/>
          <w:szCs w:val="30"/>
        </w:rPr>
        <w:t>主要任务，全面推进学校教育教师素质高质量发展，</w:t>
      </w:r>
      <w:r>
        <w:rPr>
          <w:rFonts w:hint="eastAsia" w:ascii="仿宋" w:hAnsi="仿宋" w:eastAsia="仿宋" w:cs="仿宋"/>
          <w:sz w:val="28"/>
          <w:szCs w:val="28"/>
        </w:rPr>
        <w:t>按照河南省教育厅统一部署，落实《中共中央国务院关于全面深化新时代教师队伍建设改革的意见 》、《中共中央办公厅国务院办公厅关于推动现代职业教育高质量发展的意见》精神，加强职业院校教师素质提高计划实施工作，全面提升教师素质。根据《教育部</w:t>
      </w:r>
      <w:r>
        <w:rPr>
          <w:rFonts w:hint="eastAsia" w:ascii="仿宋" w:hAnsi="仿宋" w:eastAsia="仿宋" w:cs="仿宋"/>
          <w:sz w:val="28"/>
          <w:szCs w:val="28"/>
          <w:lang w:eastAsia="zh-CN"/>
        </w:rPr>
        <w:t>、</w:t>
      </w:r>
      <w:r>
        <w:rPr>
          <w:rFonts w:hint="eastAsia" w:ascii="仿宋" w:hAnsi="仿宋" w:eastAsia="仿宋" w:cs="仿宋"/>
          <w:sz w:val="28"/>
          <w:szCs w:val="28"/>
        </w:rPr>
        <w:t>财政部关于实施职业院校教师素质提高计划(2021-2025 年)的通知》(教师函〔2021〕6号)要求，</w:t>
      </w:r>
      <w:r>
        <w:rPr>
          <w:rFonts w:ascii="仿宋" w:hAnsi="仿宋" w:eastAsia="仿宋" w:cs="仿宋"/>
          <w:spacing w:val="-1"/>
          <w:sz w:val="30"/>
          <w:szCs w:val="30"/>
        </w:rPr>
        <w:t>结合学校实际，</w:t>
      </w:r>
      <w:r>
        <w:rPr>
          <w:rFonts w:hint="eastAsia" w:ascii="仿宋" w:hAnsi="仿宋" w:eastAsia="仿宋" w:cs="仿宋"/>
          <w:sz w:val="28"/>
          <w:szCs w:val="28"/>
        </w:rPr>
        <w:t>现制定</w:t>
      </w:r>
      <w:r>
        <w:rPr>
          <w:rFonts w:hint="eastAsia" w:ascii="仿宋" w:hAnsi="仿宋" w:eastAsia="仿宋" w:cs="仿宋"/>
          <w:sz w:val="28"/>
          <w:szCs w:val="28"/>
          <w:lang w:val="en-US" w:eastAsia="zh-CN"/>
        </w:rPr>
        <w:t>本</w:t>
      </w:r>
      <w:r>
        <w:rPr>
          <w:rFonts w:hint="eastAsia" w:ascii="仿宋" w:hAnsi="仿宋" w:eastAsia="仿宋" w:cs="仿宋"/>
          <w:sz w:val="28"/>
          <w:szCs w:val="28"/>
        </w:rPr>
        <w:t>规划</w:t>
      </w:r>
      <w:r>
        <w:rPr>
          <w:rFonts w:hint="eastAsia" w:ascii="仿宋" w:hAnsi="仿宋" w:eastAsia="仿宋" w:cs="仿宋"/>
          <w:sz w:val="28"/>
          <w:szCs w:val="28"/>
          <w:lang w:eastAsia="zh-CN"/>
        </w:rPr>
        <w:t>。</w:t>
      </w:r>
    </w:p>
    <w:p>
      <w:pPr>
        <w:spacing w:line="360" w:lineRule="auto"/>
        <w:ind w:left="13" w:leftChars="6" w:right="-92" w:rightChars="-44" w:firstLine="360" w:firstLineChars="128"/>
        <w:rPr>
          <w:rFonts w:hint="eastAsia" w:ascii="黑体" w:hAnsi="黑体" w:eastAsia="黑体" w:cs="黑体"/>
          <w:b/>
          <w:bCs/>
          <w:sz w:val="28"/>
          <w:szCs w:val="28"/>
          <w:lang w:val="en-US" w:eastAsia="zh-CN"/>
        </w:rPr>
      </w:pPr>
      <w:r>
        <w:rPr>
          <w:rFonts w:hint="eastAsia" w:ascii="黑体" w:hAnsi="黑体" w:eastAsia="黑体" w:cs="黑体"/>
          <w:b/>
          <w:bCs/>
          <w:sz w:val="28"/>
          <w:szCs w:val="28"/>
        </w:rPr>
        <w:t>一、</w:t>
      </w:r>
      <w:r>
        <w:rPr>
          <w:rFonts w:hint="eastAsia" w:ascii="黑体" w:hAnsi="黑体" w:eastAsia="黑体" w:cs="黑体"/>
          <w:b/>
          <w:bCs/>
          <w:sz w:val="28"/>
          <w:szCs w:val="28"/>
          <w:lang w:val="en-US" w:eastAsia="zh-CN"/>
        </w:rPr>
        <w:t>指导思想</w:t>
      </w:r>
    </w:p>
    <w:p>
      <w:pPr>
        <w:spacing w:line="360" w:lineRule="auto"/>
        <w:ind w:left="13" w:leftChars="6" w:right="-92" w:rightChars="-44" w:firstLine="358" w:firstLineChars="128"/>
        <w:rPr>
          <w:rFonts w:hint="eastAsia" w:ascii="仿宋" w:hAnsi="仿宋" w:eastAsia="仿宋" w:cs="仿宋"/>
          <w:color w:val="auto"/>
          <w:sz w:val="28"/>
          <w:szCs w:val="28"/>
        </w:rPr>
      </w:pPr>
      <w:r>
        <w:rPr>
          <w:rFonts w:hint="eastAsia" w:ascii="仿宋" w:hAnsi="仿宋" w:eastAsia="仿宋" w:cs="仿宋"/>
          <w:color w:val="auto"/>
          <w:sz w:val="28"/>
          <w:szCs w:val="28"/>
        </w:rPr>
        <w:t>以习近平新时代中国特色社会主义思想为指导,贯彻党的十九大和十九届二中、三中、四中、五中全会精神，坚持以马克思列宁主义、毛泽东思想、邓小平理论、“三个代表”重要思想、科学发展观、习近平新时代中国特色社会主义思想为指导，全面贯彻落实习近平总书记关于教育工作的重要论述和全国、全省教育大会精神，全面贯彻党的教育方针，落实立德树人根本任务，推进依法治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立足新发展阶段、贯彻新发展理念、构建新发展格局，提升创新能力，深化综合改革，加快</w:t>
      </w:r>
      <w:r>
        <w:rPr>
          <w:rFonts w:hint="eastAsia" w:ascii="仿宋" w:hAnsi="仿宋" w:eastAsia="仿宋" w:cs="仿宋"/>
          <w:color w:val="auto"/>
          <w:sz w:val="28"/>
          <w:szCs w:val="28"/>
          <w:lang w:val="en-US" w:eastAsia="zh-CN"/>
        </w:rPr>
        <w:t>卫生健康</w:t>
      </w:r>
      <w:r>
        <w:rPr>
          <w:rFonts w:hint="eastAsia" w:ascii="仿宋" w:hAnsi="仿宋" w:eastAsia="仿宋" w:cs="仿宋"/>
          <w:color w:val="auto"/>
          <w:sz w:val="28"/>
          <w:szCs w:val="28"/>
        </w:rPr>
        <w:t>特色高水平</w:t>
      </w:r>
      <w:r>
        <w:rPr>
          <w:rFonts w:hint="eastAsia" w:ascii="仿宋" w:hAnsi="仿宋" w:eastAsia="仿宋" w:cs="仿宋"/>
          <w:color w:val="auto"/>
          <w:sz w:val="28"/>
          <w:szCs w:val="28"/>
          <w:lang w:val="en-US" w:eastAsia="zh-CN"/>
        </w:rPr>
        <w:t>学校</w:t>
      </w:r>
      <w:r>
        <w:rPr>
          <w:rFonts w:hint="eastAsia" w:ascii="仿宋" w:hAnsi="仿宋" w:eastAsia="仿宋" w:cs="仿宋"/>
          <w:color w:val="auto"/>
          <w:sz w:val="28"/>
          <w:szCs w:val="28"/>
        </w:rPr>
        <w:t>建设步伐，为实现2035年教育现代化的奋斗目标奠定坚实基础。</w:t>
      </w:r>
    </w:p>
    <w:p>
      <w:pPr>
        <w:spacing w:line="360" w:lineRule="auto"/>
        <w:ind w:left="13" w:leftChars="6" w:right="-92" w:rightChars="-44" w:firstLine="360" w:firstLineChars="128"/>
        <w:rPr>
          <w:rFonts w:hint="eastAsia" w:ascii="仿宋" w:hAnsi="仿宋" w:eastAsia="仿宋" w:cs="仿宋"/>
          <w:sz w:val="28"/>
          <w:szCs w:val="28"/>
        </w:rPr>
      </w:pPr>
      <w:r>
        <w:rPr>
          <w:rFonts w:hint="eastAsia" w:ascii="黑体" w:hAnsi="黑体" w:eastAsia="黑体" w:cs="黑体"/>
          <w:b/>
          <w:bCs/>
          <w:sz w:val="28"/>
          <w:szCs w:val="28"/>
          <w:lang w:val="en-US" w:eastAsia="zh-CN"/>
        </w:rPr>
        <w:t>二、</w:t>
      </w:r>
      <w:r>
        <w:rPr>
          <w:rFonts w:hint="eastAsia" w:ascii="黑体" w:hAnsi="黑体" w:eastAsia="黑体" w:cs="黑体"/>
          <w:b/>
          <w:bCs/>
          <w:sz w:val="28"/>
          <w:szCs w:val="28"/>
        </w:rPr>
        <w:t>整体目标</w:t>
      </w:r>
    </w:p>
    <w:p>
      <w:pPr>
        <w:spacing w:line="360" w:lineRule="auto"/>
        <w:ind w:left="13" w:leftChars="6" w:right="-92" w:rightChars="-44" w:firstLine="358" w:firstLineChars="128"/>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学校秉承“厚德笃学 勤恒至善”的校训，结合当前社会发展对卫生健康人才的需求，遵循特色兴校、人才强校、质量立校的办学思路，办学定位“培养优秀的卫生健康应用型人才”，以立德树人根本，以服务发展、促进就业为导向，探索“面向基层、立足郑州、服务河南、走出国门”的办学方向，</w:t>
      </w:r>
      <w:r>
        <w:rPr>
          <w:rFonts w:hint="eastAsia" w:ascii="仿宋" w:hAnsi="仿宋" w:eastAsia="仿宋" w:cs="仿宋"/>
          <w:color w:val="auto"/>
          <w:sz w:val="28"/>
          <w:szCs w:val="28"/>
          <w:lang w:val="en-US" w:eastAsia="zh-CN"/>
        </w:rPr>
        <w:t>以</w:t>
      </w:r>
      <w:r>
        <w:rPr>
          <w:rFonts w:hint="eastAsia" w:ascii="仿宋" w:hAnsi="仿宋" w:eastAsia="仿宋" w:cs="仿宋"/>
          <w:color w:val="auto"/>
          <w:sz w:val="28"/>
          <w:szCs w:val="28"/>
          <w:lang w:eastAsia="zh-CN"/>
        </w:rPr>
        <w:t>建成“特色鲜明、省内一流、国内知名的高水平卫生健康职业院校”作为奋斗目标，实施“教师素质提高工程”，</w:t>
      </w:r>
      <w:r>
        <w:rPr>
          <w:rFonts w:hint="eastAsia" w:ascii="仿宋" w:hAnsi="仿宋" w:eastAsia="仿宋" w:cs="仿宋"/>
          <w:color w:val="auto"/>
          <w:sz w:val="28"/>
          <w:szCs w:val="28"/>
        </w:rPr>
        <w:t>实现人才培养</w:t>
      </w:r>
      <w:r>
        <w:rPr>
          <w:rFonts w:hint="eastAsia" w:ascii="仿宋" w:hAnsi="仿宋" w:eastAsia="仿宋" w:cs="仿宋"/>
          <w:color w:val="auto"/>
          <w:sz w:val="28"/>
          <w:szCs w:val="28"/>
          <w:lang w:val="en-US" w:eastAsia="zh-CN"/>
        </w:rPr>
        <w:t>质量不断</w:t>
      </w:r>
      <w:r>
        <w:rPr>
          <w:rFonts w:hint="eastAsia" w:ascii="仿宋" w:hAnsi="仿宋" w:eastAsia="仿宋" w:cs="仿宋"/>
          <w:color w:val="auto"/>
          <w:sz w:val="28"/>
          <w:szCs w:val="28"/>
        </w:rPr>
        <w:t>提</w:t>
      </w:r>
      <w:r>
        <w:rPr>
          <w:rFonts w:hint="eastAsia" w:ascii="仿宋" w:hAnsi="仿宋" w:eastAsia="仿宋" w:cs="仿宋"/>
          <w:color w:val="auto"/>
          <w:sz w:val="28"/>
          <w:szCs w:val="28"/>
          <w:lang w:val="en-US" w:eastAsia="zh-CN"/>
        </w:rPr>
        <w:t>高</w:t>
      </w:r>
      <w:r>
        <w:rPr>
          <w:rFonts w:hint="eastAsia" w:ascii="仿宋" w:hAnsi="仿宋" w:eastAsia="仿宋" w:cs="仿宋"/>
          <w:color w:val="auto"/>
          <w:sz w:val="28"/>
          <w:szCs w:val="28"/>
          <w:lang w:eastAsia="zh-CN"/>
        </w:rPr>
        <w:t>、科学研究</w:t>
      </w:r>
      <w:r>
        <w:rPr>
          <w:rFonts w:hint="eastAsia" w:ascii="仿宋" w:hAnsi="仿宋" w:eastAsia="仿宋" w:cs="仿宋"/>
          <w:color w:val="auto"/>
          <w:sz w:val="28"/>
          <w:szCs w:val="28"/>
          <w:lang w:val="en-US" w:eastAsia="zh-CN"/>
        </w:rPr>
        <w:t>不断</w:t>
      </w:r>
      <w:r>
        <w:rPr>
          <w:rFonts w:hint="eastAsia" w:ascii="仿宋" w:hAnsi="仿宋" w:eastAsia="仿宋" w:cs="仿宋"/>
          <w:color w:val="auto"/>
          <w:sz w:val="28"/>
          <w:szCs w:val="28"/>
          <w:lang w:eastAsia="zh-CN"/>
        </w:rPr>
        <w:t>突破、</w:t>
      </w:r>
      <w:r>
        <w:rPr>
          <w:rFonts w:hint="eastAsia" w:ascii="仿宋" w:hAnsi="仿宋" w:eastAsia="仿宋" w:cs="仿宋"/>
          <w:color w:val="auto"/>
          <w:sz w:val="28"/>
          <w:szCs w:val="28"/>
          <w:lang w:val="en-US" w:eastAsia="zh-CN"/>
        </w:rPr>
        <w:t>对</w:t>
      </w:r>
      <w:r>
        <w:rPr>
          <w:rFonts w:hint="eastAsia" w:ascii="仿宋" w:hAnsi="仿宋" w:eastAsia="仿宋" w:cs="仿宋"/>
          <w:color w:val="auto"/>
          <w:sz w:val="28"/>
          <w:szCs w:val="28"/>
          <w:lang w:eastAsia="zh-CN"/>
        </w:rPr>
        <w:t>外合作</w:t>
      </w:r>
      <w:r>
        <w:rPr>
          <w:rFonts w:hint="eastAsia" w:ascii="仿宋" w:hAnsi="仿宋" w:eastAsia="仿宋" w:cs="仿宋"/>
          <w:color w:val="auto"/>
          <w:sz w:val="28"/>
          <w:szCs w:val="28"/>
          <w:lang w:val="en-US" w:eastAsia="zh-CN"/>
        </w:rPr>
        <w:t>不断跨越</w:t>
      </w:r>
      <w:r>
        <w:rPr>
          <w:rFonts w:hint="eastAsia" w:ascii="仿宋" w:hAnsi="仿宋" w:eastAsia="仿宋" w:cs="仿宋"/>
          <w:color w:val="auto"/>
          <w:sz w:val="28"/>
          <w:szCs w:val="28"/>
          <w:lang w:eastAsia="zh-CN"/>
        </w:rPr>
        <w:t>、社会服务</w:t>
      </w:r>
      <w:r>
        <w:rPr>
          <w:rFonts w:hint="eastAsia" w:ascii="仿宋" w:hAnsi="仿宋" w:eastAsia="仿宋" w:cs="仿宋"/>
          <w:color w:val="auto"/>
          <w:sz w:val="28"/>
          <w:szCs w:val="28"/>
          <w:lang w:val="en-US" w:eastAsia="zh-CN"/>
        </w:rPr>
        <w:t>能力不断提升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达到</w:t>
      </w:r>
      <w:r>
        <w:rPr>
          <w:rFonts w:hint="eastAsia" w:ascii="仿宋" w:hAnsi="仿宋" w:eastAsia="仿宋" w:cs="仿宋"/>
          <w:color w:val="auto"/>
          <w:sz w:val="28"/>
          <w:szCs w:val="28"/>
          <w:lang w:eastAsia="zh-CN"/>
        </w:rPr>
        <w:t>入选“</w:t>
      </w:r>
      <w:r>
        <w:rPr>
          <w:rFonts w:hint="eastAsia" w:ascii="仿宋" w:hAnsi="仿宋" w:eastAsia="仿宋" w:cs="仿宋"/>
          <w:color w:val="auto"/>
          <w:sz w:val="28"/>
          <w:szCs w:val="28"/>
          <w:lang w:val="en-US" w:eastAsia="zh-CN"/>
        </w:rPr>
        <w:t>国家</w:t>
      </w:r>
      <w:r>
        <w:rPr>
          <w:rFonts w:hint="eastAsia" w:ascii="仿宋" w:hAnsi="仿宋" w:eastAsia="仿宋" w:cs="仿宋"/>
          <w:color w:val="auto"/>
          <w:sz w:val="28"/>
          <w:szCs w:val="28"/>
          <w:lang w:eastAsia="zh-CN"/>
        </w:rPr>
        <w:t>双高”</w:t>
      </w:r>
      <w:r>
        <w:rPr>
          <w:rFonts w:hint="eastAsia" w:ascii="仿宋" w:hAnsi="仿宋" w:eastAsia="仿宋" w:cs="仿宋"/>
          <w:color w:val="auto"/>
          <w:sz w:val="28"/>
          <w:szCs w:val="28"/>
          <w:lang w:val="en-US" w:eastAsia="zh-CN"/>
        </w:rPr>
        <w:t>目标。</w:t>
      </w:r>
    </w:p>
    <w:p>
      <w:pPr>
        <w:spacing w:line="360" w:lineRule="auto"/>
        <w:ind w:left="13" w:leftChars="6" w:right="-92" w:rightChars="-44" w:firstLine="360" w:firstLineChars="128"/>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三、重点任务</w:t>
      </w:r>
    </w:p>
    <w:p>
      <w:pPr>
        <w:spacing w:line="360" w:lineRule="auto"/>
        <w:ind w:left="13" w:leftChars="6" w:right="-92" w:rightChars="-44" w:firstLine="358" w:firstLineChars="128"/>
        <w:rPr>
          <w:rFonts w:hint="eastAsia" w:ascii="黑体" w:hAnsi="黑体" w:eastAsia="黑体" w:cs="黑体"/>
          <w:b/>
          <w:bCs/>
          <w:sz w:val="28"/>
          <w:szCs w:val="28"/>
          <w:lang w:val="en-US" w:eastAsia="zh-CN"/>
        </w:rPr>
      </w:pPr>
      <w:r>
        <w:rPr>
          <w:rFonts w:hint="eastAsia" w:ascii="仿宋" w:hAnsi="仿宋" w:eastAsia="仿宋" w:cs="仿宋"/>
          <w:sz w:val="28"/>
          <w:szCs w:val="28"/>
        </w:rPr>
        <w:t>郑州卫生健康职业学院立足学校实际情况，牢固树立新发展理念,落实立德树人根本任务,深化产教融合、校企合作, 以切实加强“双师型”教师培养培训目标,兼顾公共基础课程教师队伍建设,着力提升教师思想政治素质和师德素养,提高教师教育教学能力,打造高质量教育教学教师队伍为整体目标，为提升教师队伍的整体素质，强力打造教师队伍提升工程，不断优化规划方案，明确建设目标，完善激励政策，强化培养培训，为学校内涵建设与发展打下坚实的基础。</w:t>
      </w:r>
    </w:p>
    <w:p>
      <w:pPr>
        <w:spacing w:line="360" w:lineRule="auto"/>
        <w:ind w:left="13" w:leftChars="6" w:right="-92" w:rightChars="-44" w:firstLine="360" w:firstLineChars="128"/>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四、支持项目</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一</w:t>
      </w:r>
      <w:r>
        <w:rPr>
          <w:rFonts w:hint="eastAsia" w:ascii="仿宋" w:hAnsi="仿宋" w:eastAsia="仿宋" w:cs="仿宋"/>
          <w:sz w:val="28"/>
          <w:szCs w:val="28"/>
          <w:lang w:eastAsia="zh-CN"/>
        </w:rPr>
        <w:t>）</w:t>
      </w:r>
      <w:r>
        <w:rPr>
          <w:rFonts w:hint="eastAsia" w:ascii="仿宋" w:hAnsi="仿宋" w:eastAsia="仿宋" w:cs="仿宋"/>
          <w:sz w:val="28"/>
          <w:szCs w:val="28"/>
        </w:rPr>
        <w:t>落实立德树人</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以习近平新时代中国特色社会主义思想特别是习近平总书记关于职业教育的重要指示批示铸魂育人。推进理想信念教育常态化,将思想政治和师德师风纳入教师培训必修内容。全面推进课程思政建设,切实增强教师课程思政意识和能力,使各类课程与思政课程同向同行,寓价值观引导于知识传授和能力培养之中。加强党史、新中国史、改革开放史、社会主义发展史教育,大力弘扬职业精神、工匠精神、劳模精神。</w:t>
      </w:r>
    </w:p>
    <w:p>
      <w:pPr>
        <w:spacing w:line="360" w:lineRule="auto"/>
        <w:ind w:left="13" w:leftChars="6" w:right="-92" w:rightChars="-44" w:firstLine="358" w:firstLineChars="128"/>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将思想政治和师德师风纳入教师培训必修内容</w:t>
      </w:r>
      <w:r>
        <w:rPr>
          <w:rFonts w:hint="eastAsia" w:ascii="仿宋" w:hAnsi="仿宋" w:eastAsia="仿宋" w:cs="仿宋"/>
          <w:sz w:val="28"/>
          <w:szCs w:val="28"/>
          <w:lang w:val="en-US" w:eastAsia="zh-CN"/>
        </w:rPr>
        <w:t xml:space="preserve"> </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设立道德讲堂，开展报告会，举办先进事迹交流会等活动。将师德纳入绩效考核、职称评聘标准；对师德不良的教师在评优评先、职称评审时实行“一票否决”，甚至予以辞退，不断强化师德教育，切实做到以德立身、以德修学、以德施教、以德育魂，铸牢教师的专业理想和专业情操，培育良好教风。设计五年课程思政专题讲座、交流会月培规划，组织研讨会每月1场。</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构建思政育人体系</w:t>
      </w:r>
      <w:r>
        <w:rPr>
          <w:rFonts w:hint="eastAsia" w:ascii="仿宋" w:hAnsi="仿宋" w:eastAsia="仿宋" w:cs="仿宋"/>
          <w:sz w:val="28"/>
          <w:szCs w:val="28"/>
          <w:lang w:eastAsia="zh-CN"/>
        </w:rPr>
        <w:t>，</w:t>
      </w:r>
      <w:r>
        <w:rPr>
          <w:rFonts w:hint="eastAsia" w:ascii="仿宋" w:hAnsi="仿宋" w:eastAsia="仿宋" w:cs="仿宋"/>
          <w:sz w:val="28"/>
          <w:szCs w:val="28"/>
        </w:rPr>
        <w:t>切实增强教师“课程思政”意识和能力</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坚持社会主义办学方向，把思想政治工作作为学校各项工作的生命线，创新人才培</w:t>
      </w:r>
      <w:bookmarkStart w:id="0" w:name="_bookmark19"/>
      <w:bookmarkEnd w:id="0"/>
      <w:r>
        <w:rPr>
          <w:rFonts w:hint="eastAsia" w:ascii="仿宋" w:hAnsi="仿宋" w:eastAsia="仿宋" w:cs="仿宋"/>
          <w:sz w:val="28"/>
          <w:szCs w:val="28"/>
        </w:rPr>
        <w:t>养模式</w:t>
      </w:r>
      <w:r>
        <w:rPr>
          <w:rFonts w:hint="eastAsia" w:ascii="仿宋" w:hAnsi="仿宋" w:eastAsia="仿宋" w:cs="仿宋"/>
          <w:sz w:val="28"/>
          <w:szCs w:val="28"/>
          <w:lang w:eastAsia="zh-CN"/>
        </w:rPr>
        <w:t>，</w:t>
      </w:r>
      <w:r>
        <w:rPr>
          <w:rFonts w:hint="eastAsia" w:ascii="仿宋" w:hAnsi="仿宋" w:eastAsia="仿宋" w:cs="仿宋"/>
          <w:sz w:val="28"/>
          <w:szCs w:val="28"/>
        </w:rPr>
        <w:t>践行社会主义核心价值观，深化思想政治理论课改革，深入推进习近平新时代中国特色社会主义思想进教材、进课堂、进头脑，把党史学习教育与思想政治</w:t>
      </w:r>
      <w:bookmarkStart w:id="1" w:name="_bookmark18"/>
      <w:bookmarkEnd w:id="1"/>
      <w:r>
        <w:rPr>
          <w:rFonts w:hint="eastAsia" w:ascii="仿宋" w:hAnsi="仿宋" w:eastAsia="仿宋" w:cs="仿宋"/>
          <w:sz w:val="28"/>
          <w:szCs w:val="28"/>
        </w:rPr>
        <w:t>工作紧密结合，大力弘扬职业精神、工匠精神、劳模精神</w:t>
      </w:r>
      <w:r>
        <w:rPr>
          <w:rFonts w:hint="eastAsia" w:ascii="仿宋" w:hAnsi="仿宋" w:eastAsia="仿宋" w:cs="仿宋"/>
          <w:sz w:val="28"/>
          <w:szCs w:val="28"/>
          <w:lang w:eastAsia="zh-CN"/>
        </w:rPr>
        <w:t>，</w:t>
      </w:r>
      <w:r>
        <w:rPr>
          <w:rFonts w:hint="eastAsia" w:ascii="仿宋" w:hAnsi="仿宋" w:eastAsia="仿宋" w:cs="仿宋"/>
          <w:sz w:val="28"/>
          <w:szCs w:val="28"/>
        </w:rPr>
        <w:t>形成全员、全程、全方位育人体系。</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深化创新创业教育</w:t>
      </w:r>
    </w:p>
    <w:p>
      <w:pPr>
        <w:spacing w:line="360" w:lineRule="auto"/>
        <w:ind w:left="13" w:leftChars="6" w:right="-92" w:rightChars="-44" w:firstLine="358" w:firstLineChars="128"/>
        <w:rPr>
          <w:rFonts w:hint="default" w:ascii="仿宋" w:hAnsi="仿宋" w:eastAsia="仿宋" w:cs="仿宋"/>
          <w:sz w:val="28"/>
          <w:szCs w:val="28"/>
          <w:lang w:val="en-US" w:eastAsia="zh-CN"/>
        </w:rPr>
      </w:pPr>
      <w:r>
        <w:rPr>
          <w:rFonts w:hint="eastAsia" w:ascii="仿宋" w:hAnsi="仿宋" w:eastAsia="仿宋" w:cs="仿宋"/>
          <w:sz w:val="28"/>
          <w:szCs w:val="28"/>
        </w:rPr>
        <w:t>深入推进“大众创业、万众创新”，实施就业促进计划和创新创业引领计划，将学生的创新意识培养和创新思维养成融入教育教学全过程，推动实现更高质量就业。完善创新创业教育制度体系，强化创新创业教育与指导教师队伍建设，完善学校、院</w:t>
      </w:r>
      <w:bookmarkStart w:id="2" w:name="_bookmark20"/>
      <w:bookmarkEnd w:id="2"/>
      <w:r>
        <w:rPr>
          <w:rFonts w:hint="eastAsia" w:ascii="仿宋" w:hAnsi="仿宋" w:eastAsia="仿宋" w:cs="仿宋"/>
          <w:sz w:val="28"/>
          <w:szCs w:val="28"/>
        </w:rPr>
        <w:t>系、职业指导师三级创新创业工作机制。</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加强德育与班主任工作等方面内容培训。</w:t>
      </w:r>
    </w:p>
    <w:p>
      <w:pPr>
        <w:spacing w:line="360" w:lineRule="auto"/>
        <w:ind w:left="13" w:leftChars="6" w:right="-92" w:rightChars="-44" w:firstLine="358" w:firstLineChars="128"/>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班主任或辅导员是立德树人的主要实施者，辅导员培训主要内容包括班级管理技巧、学生思想工作方法、学生活动组织能力提升等，采用请进来走出去的方式开展培训工作。</w:t>
      </w:r>
      <w:bookmarkStart w:id="7" w:name="_GoBack"/>
      <w:bookmarkEnd w:id="7"/>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二</w:t>
      </w:r>
      <w:r>
        <w:rPr>
          <w:rFonts w:hint="eastAsia" w:ascii="仿宋" w:hAnsi="仿宋" w:eastAsia="仿宋" w:cs="仿宋"/>
          <w:sz w:val="28"/>
          <w:szCs w:val="28"/>
          <w:lang w:eastAsia="zh-CN"/>
        </w:rPr>
        <w:t>）</w:t>
      </w:r>
      <w:r>
        <w:rPr>
          <w:rFonts w:hint="eastAsia" w:ascii="仿宋" w:hAnsi="仿宋" w:eastAsia="仿宋" w:cs="仿宋"/>
          <w:sz w:val="28"/>
          <w:szCs w:val="28"/>
        </w:rPr>
        <w:t>深化“三教”改革</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根据学校院系化管理制度，加强职业教育教师、教材、教法改革和1+X证书制度改革，推出“三教”改革专项研修，实施课程实施能力提升、信息技术应用能力提升、1+X证书制度种子教师培训、公共基础课教学能力提升、访学研修等五大举措，切实提升职业院校教师队伍整体素质和建设水平。</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课程实施能力提升</w:t>
      </w:r>
      <w:bookmarkStart w:id="3" w:name="_Hlk88310202"/>
    </w:p>
    <w:p>
      <w:pPr>
        <w:spacing w:line="360" w:lineRule="auto"/>
        <w:ind w:left="13" w:leftChars="6" w:right="-92" w:rightChars="-44" w:firstLine="358" w:firstLineChars="128"/>
        <w:rPr>
          <w:rFonts w:hint="eastAsia" w:ascii="仿宋" w:hAnsi="仿宋" w:eastAsia="仿宋" w:cs="仿宋"/>
          <w:spacing w:val="-1"/>
          <w:sz w:val="30"/>
          <w:szCs w:val="30"/>
          <w:lang w:eastAsia="zh-CN"/>
        </w:rPr>
      </w:pPr>
      <w:r>
        <w:rPr>
          <w:rFonts w:hint="eastAsia" w:ascii="仿宋" w:hAnsi="仿宋" w:eastAsia="仿宋" w:cs="仿宋"/>
          <w:sz w:val="28"/>
          <w:szCs w:val="28"/>
          <w:lang w:val="en-US" w:eastAsia="zh-CN"/>
        </w:rPr>
        <w:t>（1）完善质量评价体系：</w:t>
      </w:r>
      <w:r>
        <w:rPr>
          <w:rFonts w:ascii="仿宋" w:hAnsi="仿宋" w:eastAsia="仿宋" w:cs="仿宋"/>
          <w:spacing w:val="6"/>
          <w:sz w:val="30"/>
          <w:szCs w:val="30"/>
        </w:rPr>
        <w:t>完善系统、科学的教学质量评价与监控体系。优化教学督导</w:t>
      </w:r>
      <w:r>
        <w:rPr>
          <w:rFonts w:ascii="仿宋" w:hAnsi="仿宋" w:eastAsia="仿宋" w:cs="仿宋"/>
          <w:spacing w:val="-2"/>
          <w:sz w:val="30"/>
          <w:szCs w:val="30"/>
        </w:rPr>
        <w:t>委员会结构，强化其在教学重大决策、宏观调控等方面的指导咨</w:t>
      </w:r>
      <w:bookmarkStart w:id="4" w:name="_bookmark21"/>
      <w:bookmarkEnd w:id="4"/>
      <w:r>
        <w:rPr>
          <w:rFonts w:ascii="仿宋" w:hAnsi="仿宋" w:eastAsia="仿宋" w:cs="仿宋"/>
          <w:spacing w:val="-2"/>
          <w:sz w:val="30"/>
          <w:szCs w:val="30"/>
        </w:rPr>
        <w:t>询功能，实施学生评教、同行评价、督导评课。实施“教师素质</w:t>
      </w:r>
      <w:r>
        <w:rPr>
          <w:rFonts w:ascii="仿宋" w:hAnsi="仿宋" w:eastAsia="仿宋" w:cs="仿宋"/>
          <w:spacing w:val="-1"/>
          <w:sz w:val="30"/>
          <w:szCs w:val="30"/>
        </w:rPr>
        <w:t>提升工程”，打造高水平卓越教师队伍</w:t>
      </w:r>
      <w:r>
        <w:rPr>
          <w:rFonts w:hint="eastAsia" w:ascii="仿宋" w:hAnsi="仿宋" w:eastAsia="仿宋" w:cs="仿宋"/>
          <w:spacing w:val="-1"/>
          <w:sz w:val="30"/>
          <w:szCs w:val="30"/>
          <w:lang w:eastAsia="zh-CN"/>
        </w:rPr>
        <w:t>。</w:t>
      </w:r>
    </w:p>
    <w:p>
      <w:pPr>
        <w:spacing w:line="360" w:lineRule="auto"/>
        <w:ind w:left="13" w:leftChars="6" w:right="-92" w:rightChars="-44" w:firstLine="381" w:firstLineChars="128"/>
        <w:rPr>
          <w:rFonts w:hint="eastAsia" w:ascii="仿宋" w:hAnsi="仿宋" w:eastAsia="仿宋" w:cs="仿宋"/>
          <w:spacing w:val="-1"/>
          <w:sz w:val="30"/>
          <w:szCs w:val="30"/>
          <w:lang w:eastAsia="zh-CN"/>
        </w:rPr>
      </w:pPr>
      <w:r>
        <w:rPr>
          <w:rFonts w:hint="eastAsia" w:ascii="仿宋" w:hAnsi="仿宋" w:eastAsia="仿宋" w:cs="仿宋"/>
          <w:spacing w:val="-1"/>
          <w:sz w:val="30"/>
          <w:szCs w:val="30"/>
          <w:lang w:eastAsia="zh-CN"/>
        </w:rPr>
        <w:t>（</w:t>
      </w:r>
      <w:r>
        <w:rPr>
          <w:rFonts w:hint="eastAsia" w:ascii="仿宋" w:hAnsi="仿宋" w:eastAsia="仿宋" w:cs="仿宋"/>
          <w:spacing w:val="-1"/>
          <w:sz w:val="30"/>
          <w:szCs w:val="30"/>
          <w:lang w:val="en-US" w:eastAsia="zh-CN"/>
        </w:rPr>
        <w:t>2</w:t>
      </w:r>
      <w:r>
        <w:rPr>
          <w:rFonts w:hint="eastAsia" w:ascii="仿宋" w:hAnsi="仿宋" w:eastAsia="仿宋" w:cs="仿宋"/>
          <w:spacing w:val="-1"/>
          <w:sz w:val="30"/>
          <w:szCs w:val="30"/>
          <w:lang w:eastAsia="zh-CN"/>
        </w:rPr>
        <w:t>）打造卓越师资队伍：采用全职引进和“柔性引进”相结合的方式加强高层次人才引进，重点招聘与学校专业对口的博士人才和中青年学术骨干，逐步改善教师队伍</w:t>
      </w:r>
      <w:r>
        <w:rPr>
          <w:rFonts w:hint="eastAsia" w:ascii="仿宋" w:hAnsi="仿宋" w:eastAsia="仿宋" w:cs="仿宋"/>
          <w:spacing w:val="-1"/>
          <w:sz w:val="30"/>
          <w:szCs w:val="30"/>
          <w:lang w:val="en-US" w:eastAsia="zh-CN"/>
        </w:rPr>
        <w:t>学历</w:t>
      </w:r>
      <w:r>
        <w:rPr>
          <w:rFonts w:hint="eastAsia" w:ascii="仿宋" w:hAnsi="仿宋" w:eastAsia="仿宋" w:cs="仿宋"/>
          <w:spacing w:val="-1"/>
          <w:sz w:val="30"/>
          <w:szCs w:val="30"/>
          <w:lang w:eastAsia="zh-CN"/>
        </w:rPr>
        <w:t>结构。着力打造优秀教学团队，建立团队合作机制，提高教师整体水平；健全和完善教学名师、学术带头人、专业带头人等选拔、培养、管理制度，培育一批教学名师、优秀中青年骨干教师。</w:t>
      </w:r>
    </w:p>
    <w:p>
      <w:pPr>
        <w:spacing w:line="360" w:lineRule="auto"/>
        <w:ind w:left="13" w:leftChars="6" w:right="-92" w:rightChars="-44" w:firstLine="358" w:firstLineChars="128"/>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）促进教师职业发展：充分发挥教学名师引领与示范作用，做好专业</w:t>
      </w:r>
      <w:r>
        <w:rPr>
          <w:rFonts w:hint="eastAsia" w:ascii="仿宋" w:hAnsi="仿宋" w:eastAsia="仿宋" w:cs="仿宋"/>
          <w:sz w:val="28"/>
          <w:szCs w:val="28"/>
          <w:lang w:val="en-US" w:eastAsia="zh-CN"/>
        </w:rPr>
        <w:t>群建设、优秀基层教学组织建设和</w:t>
      </w:r>
      <w:r>
        <w:rPr>
          <w:rFonts w:hint="eastAsia" w:ascii="仿宋" w:hAnsi="仿宋" w:eastAsia="仿宋" w:cs="仿宋"/>
          <w:sz w:val="28"/>
          <w:szCs w:val="28"/>
          <w:lang w:eastAsia="zh-CN"/>
        </w:rPr>
        <w:t>教师教学创新团队建设工作。选派优秀中青年骨干教师赴国内外一流院校访学、研修。落实“双</w:t>
      </w:r>
      <w:r>
        <w:rPr>
          <w:rFonts w:hint="eastAsia" w:ascii="仿宋" w:hAnsi="仿宋" w:eastAsia="仿宋" w:cs="仿宋"/>
          <w:sz w:val="28"/>
          <w:szCs w:val="28"/>
          <w:lang w:val="en-US" w:eastAsia="zh-CN"/>
        </w:rPr>
        <w:t>拜师</w:t>
      </w:r>
      <w:r>
        <w:rPr>
          <w:rFonts w:hint="eastAsia" w:ascii="仿宋" w:hAnsi="仿宋" w:eastAsia="仿宋" w:cs="仿宋"/>
          <w:sz w:val="28"/>
          <w:szCs w:val="28"/>
          <w:lang w:eastAsia="zh-CN"/>
        </w:rPr>
        <w:t>制”，对标选拔教师新秀。通过项目资助、重点选拔、体系创新、选派交流、以老带新、个性化关怀等政策和措施，对具有发展潜力的中青年骨干教师进行重点培养。对标选拔教学新秀，分别配备教学指导导师和学术团队指导教师。完善人才政策，优化人才生态，激发教师主动性、能动性。</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加大培训力度，多形式、多层次开展培训。</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val="en-US" w:eastAsia="zh-CN"/>
        </w:rPr>
        <w:t>多形式开展培训。</w:t>
      </w:r>
      <w:r>
        <w:rPr>
          <w:rFonts w:hint="eastAsia" w:ascii="仿宋" w:hAnsi="仿宋" w:eastAsia="仿宋" w:cs="仿宋"/>
          <w:sz w:val="28"/>
          <w:szCs w:val="28"/>
        </w:rPr>
        <w:t>各专业骨干教师</w:t>
      </w:r>
      <w:bookmarkEnd w:id="3"/>
      <w:r>
        <w:rPr>
          <w:rFonts w:hint="eastAsia" w:ascii="仿宋" w:hAnsi="仿宋" w:eastAsia="仿宋" w:cs="仿宋"/>
          <w:sz w:val="28"/>
          <w:szCs w:val="28"/>
        </w:rPr>
        <w:t>，采取集中研修、岗位辅导等形式,分阶段开展研修。内容主要包括职业教育国家教学标准体系、课程思政实施、人才培养方案和教案编写与实施、新型活页式与工作手册式教材编写与使用、模块化教学模式研究与实施、实训实习教学组织与实施、教学诊断与改进的实施、教学质量评价等。建立“郑州郑州卫生健康职业学院在线学习中心”网络平台，计划购置华医网、全国高校网络培训中心等平台网络培训课程。做到在校教师应配尽培原则，达到100%教师培训。做出教师教学技能外出培训计划并实施。</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val="en-US" w:eastAsia="zh-CN"/>
        </w:rPr>
        <w:t>多层次开展培训。</w:t>
      </w:r>
      <w:r>
        <w:rPr>
          <w:rFonts w:hint="eastAsia" w:ascii="仿宋" w:hAnsi="仿宋" w:eastAsia="仿宋" w:cs="仿宋"/>
          <w:sz w:val="28"/>
          <w:szCs w:val="28"/>
        </w:rPr>
        <w:t>学校层面新入职教师岗前培训；教师培训中心新教师岗前培训；骨干教师省、国家级培训；专业带头人国家级，省级培训、国家级优秀青年教师</w:t>
      </w:r>
      <w:bookmarkStart w:id="5" w:name="_Hlk88303369"/>
      <w:r>
        <w:rPr>
          <w:rFonts w:hint="eastAsia" w:ascii="仿宋" w:hAnsi="仿宋" w:eastAsia="仿宋" w:cs="仿宋"/>
          <w:sz w:val="28"/>
          <w:szCs w:val="28"/>
        </w:rPr>
        <w:t>专项培养；</w:t>
      </w:r>
      <w:bookmarkEnd w:id="5"/>
      <w:r>
        <w:rPr>
          <w:rFonts w:hint="eastAsia" w:ascii="仿宋" w:hAnsi="仿宋" w:eastAsia="仿宋" w:cs="仿宋"/>
          <w:sz w:val="28"/>
          <w:szCs w:val="28"/>
        </w:rPr>
        <w:t>系部层面师带徒；各类协会的专业教师教学模块技能培训</w:t>
      </w:r>
      <w:r>
        <w:rPr>
          <w:rFonts w:hint="eastAsia" w:ascii="仿宋" w:hAnsi="仿宋" w:eastAsia="仿宋" w:cs="仿宋"/>
          <w:sz w:val="28"/>
          <w:szCs w:val="28"/>
          <w:lang w:eastAsia="zh-CN"/>
        </w:rPr>
        <w:t>。</w:t>
      </w:r>
      <w:r>
        <w:rPr>
          <w:rFonts w:hint="eastAsia" w:ascii="仿宋" w:hAnsi="仿宋" w:eastAsia="仿宋" w:cs="仿宋"/>
          <w:sz w:val="28"/>
          <w:szCs w:val="28"/>
        </w:rPr>
        <w:t>开展新进教师岗前培训制度，网上线上线下培养培训结合制度，新进教师助教制，新教师通过培养和考核，持证上岗；实施专业系列青年教师“双导师制”，配备1名企业导师和1名校内导师“传帮带”，发放津贴与奖金。非专业新进教师开展一对一带教制度。</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以赛促教</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w:t>
      </w:r>
      <w:r>
        <w:rPr>
          <w:rFonts w:hint="eastAsia" w:ascii="仿宋" w:hAnsi="仿宋" w:eastAsia="仿宋" w:cs="仿宋"/>
          <w:sz w:val="28"/>
          <w:szCs w:val="28"/>
        </w:rPr>
        <w:t>持续开展教学名师、青年教师课堂教学创新等教学竞赛</w:t>
      </w:r>
      <w:r>
        <w:rPr>
          <w:rFonts w:hint="eastAsia" w:ascii="仿宋" w:hAnsi="仿宋" w:eastAsia="仿宋" w:cs="仿宋"/>
          <w:sz w:val="28"/>
          <w:szCs w:val="28"/>
          <w:lang w:eastAsia="zh-CN"/>
        </w:rPr>
        <w:t>：组织骨干教师参加“河南省高等职业院校技能大赛教学能力比赛”；组织青年教师参加“河南省高等职业教育青年教师课堂教学创新大赛”</w:t>
      </w:r>
      <w:r>
        <w:rPr>
          <w:rFonts w:hint="eastAsia" w:ascii="仿宋" w:hAnsi="仿宋" w:eastAsia="仿宋" w:cs="仿宋"/>
          <w:sz w:val="28"/>
          <w:szCs w:val="28"/>
        </w:rPr>
        <w:t>，推进现代教育技术与课堂教学的深度融合和课堂教学革命，实现课堂教学“以教为中心”向“以学为中心”转变，不断提升课堂教学质量和学生自主学习能力。为教师在省级以上教学技能大赛和课堂教学创新大赛获奖作出努力，作出各教学单位平均每年1个团队的5人培训规划。</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信息技术应用能力提升</w:t>
      </w:r>
      <w:r>
        <w:rPr>
          <w:rFonts w:hint="eastAsia" w:ascii="仿宋" w:hAnsi="仿宋" w:eastAsia="仿宋" w:cs="仿宋"/>
          <w:sz w:val="28"/>
          <w:szCs w:val="28"/>
          <w:lang w:val="en-US" w:eastAsia="zh-CN"/>
        </w:rPr>
        <w:t xml:space="preserve">  各</w:t>
      </w:r>
      <w:r>
        <w:rPr>
          <w:rFonts w:hint="eastAsia" w:ascii="仿宋" w:hAnsi="仿宋" w:eastAsia="仿宋" w:cs="仿宋"/>
          <w:sz w:val="28"/>
          <w:szCs w:val="28"/>
        </w:rPr>
        <w:t>专业骨干教师，采取集中研修、项目实操等形式,分阶段开展研修。研修内容主要包括职业教育信息化制度标准、数字化教学资源开发制作应用、在线教学组织实施和平台使用、混合式教学组织实施、VR（虚拟现实）、AR（增强现实）、MR（混合现实）、AI（人工智能）等新一代信息技术应用、教学管理信息化应用。</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3.1+X 证书制度种子教师培训</w:t>
      </w:r>
      <w:r>
        <w:rPr>
          <w:rFonts w:hint="eastAsia" w:ascii="仿宋" w:hAnsi="仿宋" w:eastAsia="仿宋" w:cs="仿宋"/>
          <w:sz w:val="28"/>
          <w:szCs w:val="28"/>
          <w:lang w:val="en-US" w:eastAsia="zh-CN"/>
        </w:rPr>
        <w:t xml:space="preserve">  遴选 1+X 证书制度试点院校专业带头人、骨干教师,采取联合研发、合作培训、岗位实践等方式,分阶段开展研修。研修内容主要包括职业（专业）技能, 职业技能等级标准、专业教学标准与人才培养方案改革,职业技能等级证书与专业课程融合,模块化教学方式方法,职业技能等级考核与培养课程考核评价等。</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eastAsia="zh-CN"/>
        </w:rPr>
        <w:t>.</w:t>
      </w:r>
      <w:r>
        <w:rPr>
          <w:rFonts w:hint="eastAsia" w:ascii="仿宋" w:hAnsi="仿宋" w:eastAsia="仿宋" w:cs="仿宋"/>
          <w:sz w:val="28"/>
          <w:szCs w:val="28"/>
        </w:rPr>
        <w:t>公共基础课教学能力提升。各基础学科骨干教师，语文、数学、外语、劳动教育、艺术教育、思想政治理论课专职教师,采取线上线下相结合的混合研修、专题研修和德育研学等形式,分阶段开展培训。</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高职英语、信息技术等公共基础课教学能力提升;教案、教学案例开发设计等。</w:t>
      </w:r>
    </w:p>
    <w:p>
      <w:pPr>
        <w:spacing w:line="360" w:lineRule="auto"/>
        <w:ind w:left="13" w:leftChars="6" w:right="-92" w:rightChars="-44" w:firstLine="358" w:firstLineChars="128"/>
        <w:rPr>
          <w:rFonts w:hint="eastAsia" w:ascii="仿宋" w:hAnsi="仿宋" w:eastAsia="仿宋" w:cs="仿宋"/>
          <w:sz w:val="28"/>
          <w:szCs w:val="28"/>
          <w:lang w:eastAsia="zh-CN"/>
        </w:rPr>
      </w:pPr>
      <w:r>
        <w:rPr>
          <w:rFonts w:hint="eastAsia" w:ascii="仿宋" w:hAnsi="仿宋" w:eastAsia="仿宋" w:cs="仿宋"/>
          <w:sz w:val="28"/>
          <w:szCs w:val="28"/>
        </w:rPr>
        <w:t>5</w:t>
      </w:r>
      <w:r>
        <w:rPr>
          <w:rFonts w:hint="eastAsia" w:ascii="仿宋" w:hAnsi="仿宋" w:eastAsia="仿宋" w:cs="仿宋"/>
          <w:sz w:val="28"/>
          <w:szCs w:val="28"/>
          <w:lang w:eastAsia="zh-CN"/>
        </w:rPr>
        <w:t>.</w:t>
      </w:r>
      <w:r>
        <w:rPr>
          <w:rFonts w:hint="eastAsia" w:ascii="仿宋" w:hAnsi="仿宋" w:eastAsia="仿宋" w:cs="仿宋"/>
          <w:sz w:val="28"/>
          <w:szCs w:val="28"/>
        </w:rPr>
        <w:t>访学研修</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骨干青年教师或专业带头人到国家职教师资培养培训基地、"双高计划,建设单位等优质学校、学术和科研机构及国内外高水平大学进行访学,采取结对学习、联合教研、专项指导、顶岗研修等方式,分阶段开展研修。研修内容主要包括人才培养方案研制、专业升级与数字化改造、课程开发与建设、名师工作室建设、教学能力大赛、技能大赛、教科研方法等。</w:t>
      </w:r>
      <w:r>
        <w:rPr>
          <w:rFonts w:hint="eastAsia" w:ascii="仿宋" w:hAnsi="仿宋" w:eastAsia="仿宋" w:cs="仿宋"/>
          <w:sz w:val="28"/>
          <w:szCs w:val="28"/>
          <w:lang w:val="en-US" w:eastAsia="zh-CN"/>
        </w:rPr>
        <w:t>研修项目包括</w:t>
      </w:r>
      <w:r>
        <w:rPr>
          <w:rFonts w:hint="eastAsia" w:ascii="仿宋" w:hAnsi="仿宋" w:eastAsia="仿宋" w:cs="仿宋"/>
          <w:sz w:val="28"/>
          <w:szCs w:val="28"/>
        </w:rPr>
        <w:t>青年教师国家级跟岗访学项目、学校层面教学考察观摩活动、教学能力大赛团队培养计划，卫计委北大、出国等访学项目</w:t>
      </w:r>
      <w:r>
        <w:rPr>
          <w:rFonts w:hint="eastAsia" w:ascii="仿宋" w:hAnsi="仿宋" w:eastAsia="仿宋" w:cs="仿宋"/>
          <w:sz w:val="28"/>
          <w:szCs w:val="28"/>
          <w:lang w:eastAsia="zh-CN"/>
        </w:rPr>
        <w:t>等。</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三</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实施</w:t>
      </w:r>
      <w:r>
        <w:rPr>
          <w:rFonts w:hint="eastAsia" w:ascii="仿宋" w:hAnsi="仿宋" w:eastAsia="仿宋" w:cs="仿宋"/>
          <w:sz w:val="28"/>
          <w:szCs w:val="28"/>
        </w:rPr>
        <w:t>“双名”工程</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健全名师名校长培养培训机制，通过建设培育平台、依托专业行业培训平台创新培训形式、丰富培训内涵等，重点推进教师“双师”素质和校长办学治校能力的全方位提高。</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名师（名匠）团队培养</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遴选学校具有较大影响力的教学名师或具有绝招绝技的技能大师（专兼职）组建</w:t>
      </w:r>
      <w:r>
        <w:rPr>
          <w:rFonts w:hint="eastAsia" w:ascii="仿宋" w:hAnsi="仿宋" w:eastAsia="仿宋" w:cs="仿宋"/>
          <w:sz w:val="28"/>
          <w:szCs w:val="28"/>
          <w:lang w:eastAsia="zh-CN"/>
        </w:rPr>
        <w:t>“</w:t>
      </w:r>
      <w:r>
        <w:rPr>
          <w:rFonts w:hint="eastAsia" w:ascii="仿宋" w:hAnsi="仿宋" w:eastAsia="仿宋" w:cs="仿宋"/>
          <w:sz w:val="28"/>
          <w:szCs w:val="28"/>
        </w:rPr>
        <w:t>双师型, 名师（名匠）工作室或技艺技能传承创新平台,通过定期团队研修、项目研究、行动学习等方式,进行为期 3 年的分阶段研修</w:t>
      </w:r>
      <w:r>
        <w:rPr>
          <w:rFonts w:hint="eastAsia" w:ascii="仿宋" w:hAnsi="仿宋" w:eastAsia="仿宋" w:cs="仿宋"/>
          <w:sz w:val="28"/>
          <w:szCs w:val="28"/>
          <w:lang w:eastAsia="zh-CN"/>
        </w:rPr>
        <w:t>”</w:t>
      </w:r>
      <w:r>
        <w:rPr>
          <w:rFonts w:hint="eastAsia" w:ascii="仿宋" w:hAnsi="仿宋" w:eastAsia="仿宋" w:cs="仿宋"/>
          <w:sz w:val="28"/>
          <w:szCs w:val="28"/>
        </w:rPr>
        <w:t>。双师型,名师（名匠）工作室研修内容主要包括模块化课程建设与组织实施、教学资源研发、教学能力和教科研能力提升等; 技艺技能传承创新平台研修内容主要包括技术技能传承、积累与开发应用、传统（民族）技艺传承、实习实训资源开发、创新创业教育经验交流等。</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名师（名匠）团队培养</w:t>
      </w:r>
      <w:r>
        <w:rPr>
          <w:rFonts w:hint="eastAsia" w:ascii="仿宋" w:hAnsi="仿宋" w:eastAsia="仿宋" w:cs="仿宋"/>
          <w:sz w:val="28"/>
          <w:szCs w:val="28"/>
          <w:lang w:val="en-US" w:eastAsia="zh-CN"/>
        </w:rPr>
        <w:t>项目包括</w:t>
      </w:r>
      <w:r>
        <w:rPr>
          <w:rFonts w:hint="eastAsia" w:ascii="仿宋" w:hAnsi="仿宋" w:eastAsia="仿宋" w:cs="仿宋"/>
          <w:sz w:val="28"/>
          <w:szCs w:val="28"/>
        </w:rPr>
        <w:t>教学科研型人才培养、教育教学管理人才培养、“双师型”教育教学人才建设</w:t>
      </w:r>
      <w:r>
        <w:rPr>
          <w:rFonts w:hint="eastAsia" w:ascii="仿宋" w:hAnsi="仿宋" w:eastAsia="仿宋" w:cs="仿宋"/>
          <w:sz w:val="28"/>
          <w:szCs w:val="28"/>
          <w:lang w:eastAsia="zh-CN"/>
        </w:rPr>
        <w:t>等。</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培训者团队的专项培养</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通过向全国职教师资培养培训基地和省级师资培训基地骨干培训教师、培训管理人员学习，组建具有学校特色的专业教学团队、培训管理团队。通过外出考察、参与培训、集中面授、网络研修、课题研究相结合的方式进行分阶段研修。研修内容主要包括培训基地建设、需求分析方法、模块化培训课程设计、绩效考核评估等内容。</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eastAsia="zh-CN"/>
        </w:rPr>
        <w:t>.</w:t>
      </w:r>
      <w:r>
        <w:rPr>
          <w:rFonts w:hint="eastAsia" w:ascii="仿宋" w:hAnsi="仿宋" w:eastAsia="仿宋" w:cs="仿宋"/>
          <w:sz w:val="28"/>
          <w:szCs w:val="28"/>
        </w:rPr>
        <w:t>名校长（书记）、卓越校长等培训</w:t>
      </w:r>
      <w:bookmarkStart w:id="6" w:name="_Hlk88303126"/>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校长（书记）参加培训,通过集中研修、跟岗研修、考察交流、在线研讨、返岗实践等方式进行培育,内容主要包括党中央、国务院关于职业教育和教师工作的重要政策、国际职业教育先进理念和实践、区域职业教育现代化、职业院校治理、职业院校人才培养模式改革、1+X 证书制度、"三教,改革组织领导与实施、校企合作深化、教育 教学成果培育、信息化建设管理和应用等。 </w:t>
      </w:r>
    </w:p>
    <w:bookmarkEnd w:id="6"/>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四</w:t>
      </w:r>
      <w:r>
        <w:rPr>
          <w:rFonts w:hint="eastAsia" w:ascii="仿宋" w:hAnsi="仿宋" w:eastAsia="仿宋" w:cs="仿宋"/>
          <w:sz w:val="28"/>
          <w:szCs w:val="28"/>
          <w:lang w:eastAsia="zh-CN"/>
        </w:rPr>
        <w:t>）</w:t>
      </w:r>
      <w:r>
        <w:rPr>
          <w:rFonts w:hint="eastAsia" w:ascii="仿宋" w:hAnsi="仿宋" w:eastAsia="仿宋" w:cs="仿宋"/>
          <w:sz w:val="28"/>
          <w:szCs w:val="28"/>
        </w:rPr>
        <w:t>校企双向交流</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立足深化产教融合，在教师进企业上，强调以产学研训一体化岗位实践为核心，以国家级教师企业实践基地为依托，分阶段、多形式、高标准落实教师企业实践，促进教师掌握新知识、新技术、新工艺、新材料、新设备、新标准；在企业人才进校上，支持职业院校设立一批产业导师特聘岗，以兼职任教、合作研究、参与项目等方式服务学校教学教研工作开展。</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rPr>
        <w:t>教师企业实践</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选派职业院校青年教师到国家级教师企业实践基地开展产学研训一体化岗位实践,采用教师企业实践流动站顶岗、参与研发项目、兼职任职等方式,开展企业跟岗实践, 可分阶段进行。内容主要包括体验职业（岗位）工作过程，获得相关专业工作经历；了解企业结构相关岗位；了解相关职业的典型工作任务；了解企业对人才的能力知识需求；了解职业道德要求；了解工作规范、操作规范、技能要求、用人标准、管理制度、企业文化等；学习所教专业在生产实践中应用的新知识、新技术、新工艺、新材料、新设备、新标准等；收集与专业教学有关的项目任务，考虑与课程教学改革的有关问题，对可能教学改革提出建议。</w:t>
      </w:r>
    </w:p>
    <w:p>
      <w:pPr>
        <w:spacing w:line="360" w:lineRule="auto"/>
        <w:ind w:left="13" w:leftChars="6" w:right="-92" w:rightChars="-44" w:firstLine="358" w:firstLineChars="128"/>
        <w:rPr>
          <w:rFonts w:hint="eastAsia" w:ascii="仿宋" w:hAnsi="仿宋" w:eastAsia="仿宋" w:cs="仿宋"/>
          <w:sz w:val="28"/>
          <w:szCs w:val="28"/>
          <w:lang w:eastAsia="zh-CN"/>
        </w:rPr>
      </w:pPr>
      <w:r>
        <w:rPr>
          <w:rFonts w:hint="eastAsia" w:ascii="仿宋" w:hAnsi="仿宋" w:eastAsia="仿宋" w:cs="仿宋"/>
          <w:sz w:val="28"/>
          <w:szCs w:val="28"/>
          <w:lang w:val="en-US" w:eastAsia="zh-CN"/>
        </w:rPr>
        <w:t>实施项目主要包括</w:t>
      </w:r>
      <w:r>
        <w:rPr>
          <w:rFonts w:hint="eastAsia" w:ascii="仿宋" w:hAnsi="仿宋" w:eastAsia="仿宋" w:cs="仿宋"/>
          <w:sz w:val="28"/>
          <w:szCs w:val="28"/>
        </w:rPr>
        <w:t>省级教师企业实践、双师型教师企业实践、校级专业教师企业实践</w:t>
      </w:r>
      <w:r>
        <w:rPr>
          <w:rFonts w:hint="eastAsia" w:ascii="仿宋" w:hAnsi="仿宋" w:eastAsia="仿宋" w:cs="仿宋"/>
          <w:sz w:val="28"/>
          <w:szCs w:val="28"/>
          <w:lang w:eastAsia="zh-CN"/>
        </w:rPr>
        <w:t>。</w:t>
      </w:r>
    </w:p>
    <w:p>
      <w:pPr>
        <w:spacing w:line="360" w:lineRule="auto"/>
        <w:ind w:left="13" w:leftChars="6" w:right="-92" w:rightChars="-44" w:firstLine="358" w:firstLineChars="128"/>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w:t>
      </w:r>
      <w:r>
        <w:rPr>
          <w:rFonts w:hint="eastAsia" w:ascii="仿宋" w:hAnsi="仿宋" w:eastAsia="仿宋" w:cs="仿宋"/>
          <w:sz w:val="28"/>
          <w:szCs w:val="28"/>
        </w:rPr>
        <w:t>专业导师特聘</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设立一批专业教师特聘制度, 聘请专业技术高技能人才、管理人员、能工巧匠等到学校工作。采取兼职任教、合作研究、参与项目等方式。工作内容主要包括承担教学工作,参与学校专业建设、课程建设,参与"双师型,名师工作室建设、校本研修、产学研合作研究等。</w:t>
      </w:r>
    </w:p>
    <w:p>
      <w:pPr>
        <w:spacing w:line="360" w:lineRule="auto"/>
        <w:ind w:left="13" w:leftChars="6" w:right="-92" w:rightChars="-44" w:firstLine="360" w:firstLineChars="128"/>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五、质量监管举措</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建立学校教师发展完整统筹体系，在学校教务处协调下确立了学校引领、系（教学部）为主、全员培训、重点培养（学科专业带头人、青年教师、双师型）、部门联动（人事、教务、财务、学生、科研、成教等职能部门）的教师素质提高工作机制。推动校企共建的教师发展规划培养骨干队伍。在教师和员工培训、课程教材开发、实践教学、开展多样化教学技能研讨、学术成果转化等方面进行保障。</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1.在专业技术人员继续教育培训的基础上解合学校实际情况，完善培训平台建设，提高教师系列专业技术人员教育教学能力，同时不断创新其专业基础知识认知。</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每年由系部统筹安排人员参与河南省教育厅组织的“双师型”教师培养培训基地和企业实践培训项目、各类骨干、优秀教师培训中，选拔具有梯队建设的人才优先参与。完成专业和优质课程资源建设基础之上，进一步加强新进教师的培养工作及师带徒责任制度的明确。</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3.在专业带头人培养层面，各系部根据各教研室发展进行培养培训，并鼓励有条件的专业带头人推进校本教师培养培训资源建设工作，推动优质培训资源共建共享。</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4.在班主任（辅导员）培养培训工作中，各系应结合学生工作、思政工作需要进行培养培训。</w:t>
      </w:r>
    </w:p>
    <w:p>
      <w:pPr>
        <w:spacing w:line="360" w:lineRule="auto"/>
        <w:ind w:left="13" w:leftChars="6" w:right="-92" w:rightChars="-44" w:firstLine="360" w:firstLineChars="128"/>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六、保障条件</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（一）经费保障</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根据相关政策，为保障教师素质能力提高质量，达到提升学校综合实力的体现，学校每年办公经费20%用于校级教师素质提高培养培训经费支出。</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1.对于国家级、省级培养培训指定性培训，经费由中央财政专项经费拨付各培训基地用于住宿费，培训费支出，产生的个人往返交通费结合实际文件由学校支付。</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2.对安排参加培养培训教师，学校正常发放工资和基础性绩效工资。培训期间的工作量在职称评审时按照每周平均学时累计计算工作量。</w:t>
      </w:r>
    </w:p>
    <w:p>
      <w:pPr>
        <w:spacing w:line="360" w:lineRule="auto"/>
        <w:ind w:left="13" w:leftChars="6" w:right="-92" w:rightChars="-44" w:firstLine="358" w:firstLineChars="128"/>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3.设立专项经费用于师带徒、教师企业实践奖励制度。</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（二）工作机构和工作流程完善</w:t>
      </w:r>
    </w:p>
    <w:p>
      <w:pPr>
        <w:spacing w:line="360" w:lineRule="auto"/>
        <w:ind w:left="13" w:leftChars="6" w:right="-92" w:rightChars="-44" w:firstLine="358" w:firstLineChars="128"/>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成立教师素质提升工作机构，由校长为组长，下设办公室在教务处，负责全面各校工作的实施，建立科学的院系两级管理机制，扎实推进教师素质提升计划。</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教师素质能力提高计划以系部（教学部）为单位在实施年前一年上报，系（教学部）负责人根据专业发展需要、教学工作实际情况、经费使用情况和个人意愿等方面进行统筹安排后报教务处，教务处汇总后，报校领导研究审批，即可下一年实施。</w:t>
      </w:r>
    </w:p>
    <w:p>
      <w:pPr>
        <w:spacing w:line="360" w:lineRule="auto"/>
        <w:ind w:left="13" w:leftChars="6" w:right="-92" w:rightChars="-44" w:firstLine="358" w:firstLineChars="128"/>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2.具体实施方案按照教育厅当年方案下发后，决定校级培养方案执行办法。参加素质能力培养教师报名工作由系部上报教务处后统一审批申报。</w:t>
      </w:r>
    </w:p>
    <w:p>
      <w:pPr>
        <w:spacing w:line="360" w:lineRule="auto"/>
        <w:ind w:left="13" w:leftChars="6" w:right="-92" w:rightChars="-44" w:firstLine="360" w:firstLineChars="128"/>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七、绩效评价</w:t>
      </w:r>
    </w:p>
    <w:p>
      <w:pPr>
        <w:spacing w:line="360" w:lineRule="auto"/>
        <w:ind w:left="13" w:leftChars="6" w:right="-92" w:rightChars="-44" w:firstLine="358" w:firstLineChars="128"/>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教师应严格要求自己，自觉遵守培训单位的有关制度和操作规程。请假需得到实践所在单位和学校的双重批准，教务处负责监控培训质量，并提供企业实践、师带徒等情况作为职称量化数据。建立教师素质培养专项档案，逐步推动管理平台建设。</w:t>
      </w:r>
      <w:r>
        <w:rPr>
          <w:rFonts w:hint="eastAsia" w:ascii="仿宋" w:hAnsi="仿宋" w:eastAsia="仿宋" w:cs="仿宋"/>
          <w:color w:val="auto"/>
          <w:sz w:val="28"/>
          <w:szCs w:val="28"/>
          <w:lang w:val="en-US" w:eastAsia="zh-CN"/>
        </w:rPr>
        <w:t>为教师职业发展奠定基础。</w:t>
      </w:r>
    </w:p>
    <w:p>
      <w:pPr>
        <w:spacing w:line="360" w:lineRule="auto"/>
        <w:ind w:left="13" w:leftChars="6" w:right="-92" w:rightChars="-44" w:firstLine="358" w:firstLineChars="128"/>
        <w:rPr>
          <w:rFonts w:hint="eastAsia" w:ascii="仿宋" w:hAnsi="仿宋" w:eastAsia="仿宋" w:cs="仿宋"/>
          <w:sz w:val="28"/>
          <w:szCs w:val="28"/>
        </w:rPr>
      </w:pPr>
    </w:p>
    <w:p>
      <w:pPr>
        <w:spacing w:line="360" w:lineRule="auto"/>
        <w:ind w:left="13" w:leftChars="6" w:right="-92" w:rightChars="-44" w:firstLine="358" w:firstLineChars="128"/>
        <w:rPr>
          <w:rFonts w:hint="eastAsia" w:ascii="仿宋" w:hAnsi="仿宋" w:eastAsia="仿宋" w:cs="仿宋"/>
          <w:sz w:val="28"/>
          <w:szCs w:val="28"/>
        </w:rPr>
      </w:pPr>
    </w:p>
    <w:p>
      <w:pPr>
        <w:spacing w:line="360" w:lineRule="auto"/>
        <w:ind w:left="1474" w:leftChars="702" w:right="1186" w:rightChars="565" w:firstLine="375" w:firstLineChars="134"/>
        <w:rPr>
          <w:rFonts w:hint="eastAsia" w:ascii="仿宋" w:hAnsi="仿宋" w:eastAsia="仿宋" w:cs="仿宋"/>
          <w:sz w:val="28"/>
          <w:szCs w:val="28"/>
        </w:rPr>
      </w:pPr>
    </w:p>
    <w:p>
      <w:pPr>
        <w:spacing w:line="360" w:lineRule="auto"/>
        <w:ind w:left="1474" w:leftChars="702" w:right="1186" w:rightChars="565" w:firstLine="375" w:firstLineChars="134"/>
        <w:rPr>
          <w:rFonts w:hint="eastAsia" w:ascii="仿宋" w:hAnsi="仿宋" w:eastAsia="仿宋" w:cs="仿宋"/>
          <w:sz w:val="28"/>
          <w:szCs w:val="28"/>
        </w:rPr>
      </w:pPr>
    </w:p>
    <w:p>
      <w:pPr>
        <w:spacing w:before="229" w:line="382" w:lineRule="auto"/>
        <w:ind w:left="1599" w:right="1701" w:firstLine="599"/>
        <w:rPr>
          <w:rFonts w:ascii="仿宋" w:hAnsi="仿宋" w:eastAsia="仿宋" w:cs="仿宋"/>
          <w:sz w:val="30"/>
          <w:szCs w:val="30"/>
        </w:rPr>
      </w:pP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2"/>
      <w:spacing w:line="14" w:lineRule="auto"/>
      <w:rPr>
        <w:sz w:val="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Times New Roman"/>
        <w:sz w:val="2"/>
      </w:rPr>
    </w:pPr>
    <w:r>
      <mc:AlternateContent>
        <mc:Choice Requires="wps">
          <w:drawing>
            <wp:anchor distT="0" distB="0" distL="114300" distR="114300" simplePos="0" relativeHeight="251659264" behindDoc="1" locked="0" layoutInCell="0" allowOverlap="1">
              <wp:simplePos x="0" y="0"/>
              <wp:positionH relativeFrom="page">
                <wp:posOffset>0</wp:posOffset>
              </wp:positionH>
              <wp:positionV relativeFrom="page">
                <wp:posOffset>0</wp:posOffset>
              </wp:positionV>
              <wp:extent cx="7560310" cy="10690860"/>
              <wp:effectExtent l="0" t="0" r="13970" b="7620"/>
              <wp:wrapNone/>
              <wp:docPr id="2" name="矩形 2"/>
              <wp:cNvGraphicFramePr/>
              <a:graphic xmlns:a="http://schemas.openxmlformats.org/drawingml/2006/main">
                <a:graphicData uri="http://schemas.microsoft.com/office/word/2010/wordprocessingShape">
                  <wps:wsp>
                    <wps:cNvSpPr/>
                    <wps:spPr>
                      <a:xfrm>
                        <a:off x="0" y="0"/>
                        <a:ext cx="7560310" cy="10690860"/>
                      </a:xfrm>
                      <a:prstGeom prst="rect">
                        <a:avLst/>
                      </a:prstGeom>
                      <a:solidFill>
                        <a:srgbClr val="CCE8CF"/>
                      </a:solidFill>
                      <a:ln>
                        <a:noFill/>
                      </a:ln>
                    </wps:spPr>
                    <wps:bodyPr upright="1"/>
                  </wps:wsp>
                </a:graphicData>
              </a:graphic>
            </wp:anchor>
          </w:drawing>
        </mc:Choice>
        <mc:Fallback>
          <w:pict>
            <v:rect id="_x0000_s1026" o:spid="_x0000_s1026" o:spt="1" style="position:absolute;left:0pt;margin-left:0pt;margin-top:0pt;height:841.8pt;width:595.3pt;mso-position-horizontal-relative:page;mso-position-vertical-relative:page;z-index:-251657216;mso-width-relative:page;mso-height-relative:page;" fillcolor="#CCE8CF" filled="t" stroked="f" coordsize="21600,21600" o:allowincell="f" o:gfxdata="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p&#10;vCyU0wAAAAcBAAAPAAAAAAAAAAEAIAAAACIAAABkcnMvZG93bnJldi54bWxQSwECFAAUAAAACACH&#10;TuJA7FsCV7cBAABhAwAADgAAAAAAAAABACAAAAAiAQAAZHJzL2Uyb0RvYy54bWxQSwUGAAAAAAYA&#10;BgBZAQAASwUAAAAA&#10;">
              <v:fill on="t" focussize="0,0"/>
              <v:stroke on="f"/>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3C0"/>
    <w:rsid w:val="00004F40"/>
    <w:rsid w:val="000162FD"/>
    <w:rsid w:val="000A25A1"/>
    <w:rsid w:val="000B45DC"/>
    <w:rsid w:val="001A51F9"/>
    <w:rsid w:val="001B1DA6"/>
    <w:rsid w:val="001C10A5"/>
    <w:rsid w:val="001C68C2"/>
    <w:rsid w:val="00207888"/>
    <w:rsid w:val="00224562"/>
    <w:rsid w:val="00255C38"/>
    <w:rsid w:val="002648D3"/>
    <w:rsid w:val="002B76E1"/>
    <w:rsid w:val="00363BD2"/>
    <w:rsid w:val="003A540E"/>
    <w:rsid w:val="003D697E"/>
    <w:rsid w:val="003E3987"/>
    <w:rsid w:val="00426AA5"/>
    <w:rsid w:val="00487B8C"/>
    <w:rsid w:val="004E4966"/>
    <w:rsid w:val="0050274F"/>
    <w:rsid w:val="005038C2"/>
    <w:rsid w:val="00583565"/>
    <w:rsid w:val="00662499"/>
    <w:rsid w:val="006837D1"/>
    <w:rsid w:val="006905BD"/>
    <w:rsid w:val="006C2A9E"/>
    <w:rsid w:val="00717451"/>
    <w:rsid w:val="0074097F"/>
    <w:rsid w:val="0074196A"/>
    <w:rsid w:val="00817FC3"/>
    <w:rsid w:val="008641B2"/>
    <w:rsid w:val="0087691A"/>
    <w:rsid w:val="00893D68"/>
    <w:rsid w:val="0096618C"/>
    <w:rsid w:val="009C3C0D"/>
    <w:rsid w:val="009C4B7B"/>
    <w:rsid w:val="00A12308"/>
    <w:rsid w:val="00A935F7"/>
    <w:rsid w:val="00AC3D4F"/>
    <w:rsid w:val="00B95F29"/>
    <w:rsid w:val="00BF7E24"/>
    <w:rsid w:val="00C24878"/>
    <w:rsid w:val="00C674AC"/>
    <w:rsid w:val="00C713C0"/>
    <w:rsid w:val="00CD2E9B"/>
    <w:rsid w:val="00D21151"/>
    <w:rsid w:val="00D5676B"/>
    <w:rsid w:val="00DB364B"/>
    <w:rsid w:val="00DD6A50"/>
    <w:rsid w:val="00E518D0"/>
    <w:rsid w:val="00E604BA"/>
    <w:rsid w:val="00F663FC"/>
    <w:rsid w:val="00F87892"/>
    <w:rsid w:val="00F958AC"/>
    <w:rsid w:val="00FA54C0"/>
    <w:rsid w:val="026C2BD6"/>
    <w:rsid w:val="206078F6"/>
    <w:rsid w:val="228943EF"/>
    <w:rsid w:val="3CB75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unhideWhenUsed/>
    <w:qFormat/>
    <w:uiPriority w:val="99"/>
    <w:pPr>
      <w:spacing w:after="120"/>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Char"/>
    <w:basedOn w:val="6"/>
    <w:link w:val="2"/>
    <w:qFormat/>
    <w:uiPriority w:val="99"/>
  </w:style>
  <w:style w:type="paragraph" w:styleId="8">
    <w:name w:val="List Paragraph"/>
    <w:basedOn w:val="1"/>
    <w:qFormat/>
    <w:uiPriority w:val="34"/>
    <w:pPr>
      <w:ind w:firstLine="420" w:firstLineChars="200"/>
    </w:pPr>
  </w:style>
  <w:style w:type="character" w:customStyle="1" w:styleId="9">
    <w:name w:val="页眉 Char"/>
    <w:basedOn w:val="6"/>
    <w:link w:val="4"/>
    <w:qFormat/>
    <w:uiPriority w:val="99"/>
    <w:rPr>
      <w:sz w:val="18"/>
      <w:szCs w:val="18"/>
    </w:rPr>
  </w:style>
  <w:style w:type="character" w:customStyle="1" w:styleId="10">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721</Words>
  <Characters>4111</Characters>
  <Lines>34</Lines>
  <Paragraphs>9</Paragraphs>
  <TotalTime>4</TotalTime>
  <ScaleCrop>false</ScaleCrop>
  <LinksUpToDate>false</LinksUpToDate>
  <CharactersWithSpaces>4823</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2021-11-20T02:54:00Z</dcterms:created>
  <dc:creator>16984</dc:creator>
  <cp:lastModifiedBy>赵文忠新号</cp:lastModifiedBy>
  <dcterms:modified xsi:type="dcterms:W3CDTF">2021-11-23T17:14:08Z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45590A794EDA4E5280350F27FC32F323</vt:lpwstr>
  </property>
</Properties>
</file>